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DA5F" w14:textId="77777777" w:rsidR="00BF7237" w:rsidRPr="00C20B98" w:rsidRDefault="00BF7237" w:rsidP="00BF7237">
      <w:pPr>
        <w:outlineLvl w:val="5"/>
        <w:rPr>
          <w:rFonts w:ascii="Arial Narrow" w:hAnsi="Arial Narrow"/>
          <w:b/>
          <w:bCs/>
          <w:sz w:val="24"/>
          <w:szCs w:val="24"/>
        </w:rPr>
      </w:pPr>
      <w:r w:rsidRPr="00C20B98">
        <w:rPr>
          <w:rFonts w:ascii="Arial Narrow" w:hAnsi="Arial Narrow"/>
          <w:b/>
          <w:bCs/>
          <w:sz w:val="24"/>
          <w:szCs w:val="24"/>
        </w:rPr>
        <w:t>MINISTERE DE L’ECONOMIE                                                              REPUBLIQUE DU MALI</w:t>
      </w:r>
    </w:p>
    <w:p w14:paraId="669B5DB4" w14:textId="77777777" w:rsidR="00BF7237" w:rsidRPr="00C20B98" w:rsidRDefault="00BF7237" w:rsidP="00BF7237">
      <w:pPr>
        <w:keepNext/>
        <w:outlineLvl w:val="6"/>
        <w:rPr>
          <w:rFonts w:ascii="Arial Narrow" w:hAnsi="Arial Narrow"/>
          <w:b/>
          <w:sz w:val="24"/>
          <w:szCs w:val="24"/>
        </w:rPr>
      </w:pPr>
      <w:r w:rsidRPr="00C20B98">
        <w:rPr>
          <w:rFonts w:ascii="Arial Narrow" w:hAnsi="Arial Narrow"/>
          <w:b/>
          <w:sz w:val="24"/>
          <w:szCs w:val="24"/>
        </w:rPr>
        <w:t xml:space="preserve">ET DES FINANCES                                                                          </w:t>
      </w:r>
      <w:r w:rsidRPr="00C20B98">
        <w:rPr>
          <w:rFonts w:ascii="Arial Narrow" w:hAnsi="Arial Narrow"/>
          <w:b/>
          <w:i/>
          <w:sz w:val="24"/>
          <w:szCs w:val="24"/>
        </w:rPr>
        <w:t>Un Peuple – Un But – Une Foi</w:t>
      </w:r>
    </w:p>
    <w:p w14:paraId="7166B182" w14:textId="77777777" w:rsidR="00BF7237" w:rsidRPr="00C20B98" w:rsidRDefault="00BF7237" w:rsidP="00BF7237">
      <w:pPr>
        <w:rPr>
          <w:rFonts w:ascii="Arial Narrow" w:hAnsi="Arial Narrow"/>
          <w:b/>
          <w:sz w:val="24"/>
          <w:szCs w:val="24"/>
        </w:rPr>
      </w:pPr>
      <w:r w:rsidRPr="00C20B98">
        <w:rPr>
          <w:rFonts w:ascii="Arial Narrow" w:hAnsi="Arial Narrow"/>
          <w:b/>
          <w:sz w:val="24"/>
          <w:szCs w:val="24"/>
        </w:rPr>
        <w:t xml:space="preserve">         ------------------                                                                                        ----------------</w:t>
      </w:r>
    </w:p>
    <w:p w14:paraId="0BB4B061" w14:textId="77777777" w:rsidR="00BF7237" w:rsidRPr="00C20B98" w:rsidRDefault="00BF7237" w:rsidP="00BF7237">
      <w:pPr>
        <w:keepNext/>
        <w:outlineLvl w:val="7"/>
        <w:rPr>
          <w:rFonts w:ascii="Arial Narrow" w:hAnsi="Arial Narrow"/>
          <w:b/>
          <w:sz w:val="24"/>
          <w:szCs w:val="24"/>
        </w:rPr>
      </w:pPr>
      <w:r w:rsidRPr="00C20B98">
        <w:rPr>
          <w:rFonts w:ascii="Arial Narrow" w:hAnsi="Arial Narrow"/>
          <w:b/>
          <w:sz w:val="24"/>
          <w:szCs w:val="24"/>
        </w:rPr>
        <w:t>SECRETARIAT GENERAL</w:t>
      </w:r>
    </w:p>
    <w:p w14:paraId="2DDF3F4C" w14:textId="77777777" w:rsidR="00BF7237" w:rsidRPr="00C20B98" w:rsidRDefault="00BF7237" w:rsidP="00BF7237">
      <w:pPr>
        <w:tabs>
          <w:tab w:val="center" w:pos="4535"/>
        </w:tabs>
        <w:rPr>
          <w:rFonts w:ascii="Arial Narrow" w:hAnsi="Arial Narrow"/>
          <w:b/>
          <w:sz w:val="24"/>
          <w:szCs w:val="24"/>
        </w:rPr>
      </w:pPr>
      <w:r w:rsidRPr="00C20B98">
        <w:rPr>
          <w:rFonts w:ascii="Arial Narrow" w:hAnsi="Arial Narrow"/>
          <w:sz w:val="24"/>
          <w:szCs w:val="24"/>
        </w:rPr>
        <w:t xml:space="preserve">         </w:t>
      </w:r>
      <w:r w:rsidRPr="00C20B98">
        <w:rPr>
          <w:rFonts w:ascii="Arial Narrow" w:hAnsi="Arial Narrow"/>
          <w:b/>
          <w:sz w:val="24"/>
          <w:szCs w:val="24"/>
        </w:rPr>
        <w:t>------------------</w:t>
      </w:r>
      <w:r w:rsidRPr="00C20B98">
        <w:rPr>
          <w:rFonts w:ascii="Arial Narrow" w:hAnsi="Arial Narrow"/>
          <w:sz w:val="24"/>
          <w:szCs w:val="24"/>
        </w:rPr>
        <w:tab/>
        <w:t xml:space="preserve">                                                                      </w:t>
      </w:r>
    </w:p>
    <w:p w14:paraId="688C1A14" w14:textId="77777777" w:rsidR="00BF7237" w:rsidRPr="00C20B98" w:rsidRDefault="00BF7237" w:rsidP="00BF7237">
      <w:pPr>
        <w:rPr>
          <w:rFonts w:ascii="Arial Narrow" w:hAnsi="Arial Narrow"/>
          <w:b/>
          <w:sz w:val="24"/>
          <w:szCs w:val="24"/>
        </w:rPr>
      </w:pPr>
      <w:r w:rsidRPr="00C20B98">
        <w:rPr>
          <w:rFonts w:ascii="Arial Narrow" w:hAnsi="Arial Narrow"/>
          <w:b/>
          <w:sz w:val="24"/>
          <w:szCs w:val="24"/>
        </w:rPr>
        <w:t>CELLULE TECHNIQUE CSLP</w:t>
      </w:r>
    </w:p>
    <w:p w14:paraId="61D15871" w14:textId="77777777" w:rsidR="00BF7237" w:rsidRPr="00C20B98" w:rsidRDefault="00BF7237" w:rsidP="00BF7237">
      <w:pPr>
        <w:rPr>
          <w:rFonts w:ascii="Arial Narrow" w:hAnsi="Arial Narrow"/>
          <w:b/>
          <w:sz w:val="24"/>
          <w:szCs w:val="24"/>
        </w:rPr>
      </w:pPr>
      <w:r w:rsidRPr="00C20B98">
        <w:rPr>
          <w:rFonts w:ascii="Arial Narrow" w:hAnsi="Arial Narrow"/>
          <w:b/>
          <w:sz w:val="24"/>
          <w:szCs w:val="24"/>
        </w:rPr>
        <w:t xml:space="preserve">          -----------------</w:t>
      </w:r>
    </w:p>
    <w:p w14:paraId="373AC576" w14:textId="77777777" w:rsidR="00BF7237" w:rsidRPr="00C20B98" w:rsidRDefault="00BF7237" w:rsidP="00BF7237">
      <w:pPr>
        <w:tabs>
          <w:tab w:val="left" w:pos="708"/>
          <w:tab w:val="left" w:pos="1416"/>
          <w:tab w:val="left" w:pos="2124"/>
          <w:tab w:val="left" w:pos="3329"/>
        </w:tabs>
        <w:rPr>
          <w:rFonts w:ascii="Arial Narrow" w:hAnsi="Arial Narrow"/>
          <w:b/>
          <w:sz w:val="24"/>
          <w:szCs w:val="24"/>
        </w:rPr>
      </w:pPr>
      <w:r>
        <w:rPr>
          <w:noProof/>
          <w:lang w:val="en-US"/>
        </w:rPr>
        <w:drawing>
          <wp:anchor distT="0" distB="0" distL="114300" distR="114300" simplePos="0" relativeHeight="251659264" behindDoc="1" locked="0" layoutInCell="1" allowOverlap="1" wp14:anchorId="680CC1B7" wp14:editId="4C706FE8">
            <wp:simplePos x="0" y="0"/>
            <wp:positionH relativeFrom="column">
              <wp:posOffset>236607</wp:posOffset>
            </wp:positionH>
            <wp:positionV relativeFrom="paragraph">
              <wp:posOffset>22473</wp:posOffset>
            </wp:positionV>
            <wp:extent cx="1105231" cy="1137037"/>
            <wp:effectExtent l="0" t="0" r="0" b="6350"/>
            <wp:wrapNone/>
            <wp:docPr id="1" name="Image 1" descr="Description :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s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65" cy="1145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B98">
        <w:rPr>
          <w:rFonts w:ascii="Arial Narrow" w:hAnsi="Arial Narrow"/>
          <w:sz w:val="20"/>
          <w:szCs w:val="20"/>
        </w:rPr>
        <w:t xml:space="preserve">  </w:t>
      </w:r>
    </w:p>
    <w:p w14:paraId="64B6149C" w14:textId="77777777" w:rsidR="00BF7237" w:rsidRPr="001334CF" w:rsidRDefault="00BF7237" w:rsidP="00BF7237">
      <w:pPr>
        <w:rPr>
          <w:rFonts w:ascii="Arial Narrow" w:hAnsi="Arial Narrow"/>
          <w:b/>
          <w:sz w:val="24"/>
          <w:szCs w:val="24"/>
        </w:rPr>
      </w:pPr>
      <w:r w:rsidRPr="00C20B98">
        <w:rPr>
          <w:rFonts w:ascii="Arial Narrow" w:hAnsi="Arial Narrow"/>
          <w:sz w:val="20"/>
          <w:szCs w:val="20"/>
        </w:rPr>
        <w:t xml:space="preserve">                                                                                                      </w:t>
      </w:r>
      <w:r>
        <w:rPr>
          <w:rFonts w:ascii="Arial Narrow" w:hAnsi="Arial Narrow"/>
          <w:sz w:val="20"/>
          <w:szCs w:val="20"/>
        </w:rPr>
        <w:t xml:space="preserve">                        </w:t>
      </w:r>
    </w:p>
    <w:p w14:paraId="38418F38" w14:textId="77777777" w:rsidR="00BF7237" w:rsidRPr="001334CF" w:rsidRDefault="00BF7237" w:rsidP="00BF7237">
      <w:pPr>
        <w:jc w:val="center"/>
        <w:rPr>
          <w:rFonts w:ascii="Arial Narrow" w:hAnsi="Arial Narrow"/>
          <w:b/>
          <w:sz w:val="24"/>
          <w:szCs w:val="24"/>
        </w:rPr>
      </w:pPr>
    </w:p>
    <w:p w14:paraId="46203C6C" w14:textId="77777777" w:rsidR="00BF7237" w:rsidRDefault="00BF7237" w:rsidP="00BF7237">
      <w:pPr>
        <w:jc w:val="center"/>
        <w:rPr>
          <w:rFonts w:ascii="Arial Narrow" w:hAnsi="Arial Narrow"/>
          <w:b/>
          <w:sz w:val="24"/>
          <w:szCs w:val="24"/>
        </w:rPr>
      </w:pPr>
    </w:p>
    <w:p w14:paraId="5DBAD658" w14:textId="77777777" w:rsidR="00BF7237" w:rsidRDefault="00BF7237" w:rsidP="00BF7237">
      <w:pPr>
        <w:jc w:val="center"/>
        <w:rPr>
          <w:rFonts w:ascii="Arial Narrow" w:hAnsi="Arial Narrow"/>
          <w:b/>
          <w:sz w:val="24"/>
          <w:szCs w:val="24"/>
        </w:rPr>
      </w:pPr>
    </w:p>
    <w:p w14:paraId="63BDE960" w14:textId="77777777" w:rsidR="00BF7237" w:rsidRDefault="00BF7237" w:rsidP="00BF7237">
      <w:pPr>
        <w:jc w:val="center"/>
        <w:rPr>
          <w:rFonts w:ascii="Arial Narrow" w:hAnsi="Arial Narrow"/>
          <w:b/>
          <w:sz w:val="24"/>
          <w:szCs w:val="24"/>
        </w:rPr>
      </w:pPr>
    </w:p>
    <w:p w14:paraId="07AEE7F0" w14:textId="77777777" w:rsidR="00BF7237" w:rsidRPr="001334CF" w:rsidRDefault="00BF7237" w:rsidP="00BF7237">
      <w:pPr>
        <w:jc w:val="center"/>
        <w:rPr>
          <w:rFonts w:ascii="Arial Narrow" w:hAnsi="Arial Narrow"/>
          <w:b/>
          <w:sz w:val="24"/>
          <w:szCs w:val="24"/>
        </w:rPr>
      </w:pPr>
    </w:p>
    <w:p w14:paraId="5C04906B" w14:textId="77777777" w:rsidR="00BF7237" w:rsidRPr="001334CF" w:rsidRDefault="00BF7237" w:rsidP="00BF7237">
      <w:pPr>
        <w:jc w:val="center"/>
        <w:rPr>
          <w:rFonts w:ascii="Arial Narrow" w:hAnsi="Arial Narrow"/>
          <w:b/>
          <w:sz w:val="24"/>
          <w:szCs w:val="24"/>
        </w:rPr>
      </w:pPr>
      <w:r w:rsidRPr="001334CF">
        <w:rPr>
          <w:rFonts w:ascii="Arial Narrow" w:hAnsi="Arial Narrow"/>
          <w:b/>
          <w:sz w:val="24"/>
          <w:szCs w:val="24"/>
        </w:rPr>
        <w:t>***********</w:t>
      </w:r>
    </w:p>
    <w:p w14:paraId="3625357C" w14:textId="77777777" w:rsidR="00BF7237" w:rsidRPr="001334CF" w:rsidRDefault="00BF7237" w:rsidP="00BF7237">
      <w:pPr>
        <w:pBdr>
          <w:bottom w:val="threeDEngrave" w:sz="24" w:space="1" w:color="auto"/>
        </w:pBdr>
        <w:jc w:val="center"/>
        <w:rPr>
          <w:rFonts w:ascii="Arial Narrow" w:hAnsi="Arial Narrow" w:cs="Tahoma"/>
          <w:b/>
          <w:sz w:val="24"/>
          <w:szCs w:val="24"/>
        </w:rPr>
      </w:pPr>
      <w:r>
        <w:rPr>
          <w:rFonts w:ascii="Arial Narrow" w:hAnsi="Arial Narrow"/>
          <w:b/>
          <w:sz w:val="24"/>
          <w:szCs w:val="24"/>
        </w:rPr>
        <w:t>ETAT DE MISE EN ŒUVRE DES ACTIVITES PHARES (mars à juillet 2020)</w:t>
      </w:r>
    </w:p>
    <w:p w14:paraId="4C819D01" w14:textId="77777777" w:rsidR="00BF7237" w:rsidRPr="001334CF" w:rsidRDefault="00BF7237" w:rsidP="00BF7237">
      <w:pPr>
        <w:jc w:val="center"/>
        <w:rPr>
          <w:rFonts w:ascii="Arial Narrow" w:hAnsi="Arial Narrow" w:cs="Tahoma"/>
          <w:b/>
          <w:sz w:val="24"/>
          <w:szCs w:val="24"/>
        </w:rPr>
      </w:pPr>
      <w:r w:rsidRPr="001334CF">
        <w:rPr>
          <w:rFonts w:ascii="Arial Narrow" w:hAnsi="Arial Narrow" w:cs="Tahoma"/>
          <w:b/>
          <w:sz w:val="24"/>
          <w:szCs w:val="24"/>
        </w:rPr>
        <w:t>PROGRAMME D’APPUI A LA GOUVERNANCE, A LA RESILIENCE ECONOMIQUE POUR LA REDUCTION DE LA PAUVRETE</w:t>
      </w:r>
    </w:p>
    <w:p w14:paraId="237109BB" w14:textId="77777777" w:rsidR="00BF7237" w:rsidRPr="001334CF" w:rsidRDefault="00BF7237" w:rsidP="00BF7237">
      <w:pPr>
        <w:rPr>
          <w:rFonts w:ascii="Arial Narrow" w:hAnsi="Arial Narrow" w:cs="Tahoma"/>
          <w:sz w:val="24"/>
          <w:szCs w:val="24"/>
        </w:rPr>
      </w:pPr>
    </w:p>
    <w:p w14:paraId="428F00A8" w14:textId="77777777" w:rsidR="00BF7237" w:rsidRPr="001334CF" w:rsidRDefault="00BF7237" w:rsidP="00BF7237">
      <w:pPr>
        <w:rPr>
          <w:rFonts w:ascii="Arial Narrow" w:hAnsi="Arial Narrow" w:cs="Tahoma"/>
          <w:sz w:val="24"/>
          <w:szCs w:val="24"/>
        </w:rPr>
      </w:pPr>
    </w:p>
    <w:p w14:paraId="03190FF1" w14:textId="77777777" w:rsidR="00BF7237" w:rsidRPr="001334CF" w:rsidRDefault="00BF7237" w:rsidP="00BF7237">
      <w:pPr>
        <w:jc w:val="right"/>
        <w:rPr>
          <w:rFonts w:ascii="Arial Narrow" w:hAnsi="Arial Narrow" w:cs="Tahoma"/>
          <w:sz w:val="24"/>
          <w:szCs w:val="24"/>
        </w:rPr>
      </w:pPr>
    </w:p>
    <w:p w14:paraId="73853B08" w14:textId="77777777" w:rsidR="00BF7237" w:rsidRPr="001334CF" w:rsidRDefault="00BF7237" w:rsidP="00BF7237">
      <w:pPr>
        <w:jc w:val="right"/>
        <w:rPr>
          <w:rFonts w:ascii="Arial Narrow" w:hAnsi="Arial Narrow" w:cs="Tahoma"/>
          <w:sz w:val="24"/>
          <w:szCs w:val="24"/>
        </w:rPr>
      </w:pPr>
    </w:p>
    <w:p w14:paraId="5936A1BC" w14:textId="77777777" w:rsidR="00BF7237" w:rsidRPr="001334CF" w:rsidRDefault="00BF7237" w:rsidP="00BF7237">
      <w:pPr>
        <w:jc w:val="right"/>
        <w:rPr>
          <w:rFonts w:ascii="Arial Narrow" w:hAnsi="Arial Narrow" w:cs="Tahoma"/>
          <w:sz w:val="24"/>
          <w:szCs w:val="24"/>
        </w:rPr>
      </w:pPr>
    </w:p>
    <w:p w14:paraId="1FE79592" w14:textId="77777777" w:rsidR="00BF7237" w:rsidRDefault="00BF7237" w:rsidP="00BF7237">
      <w:pPr>
        <w:jc w:val="right"/>
        <w:rPr>
          <w:rFonts w:ascii="Arial Narrow" w:hAnsi="Arial Narrow" w:cs="Tahoma"/>
          <w:sz w:val="24"/>
          <w:szCs w:val="24"/>
        </w:rPr>
      </w:pPr>
    </w:p>
    <w:p w14:paraId="1261C793" w14:textId="77777777" w:rsidR="00BF7237" w:rsidRDefault="00BF7237" w:rsidP="00BF7237">
      <w:pPr>
        <w:jc w:val="right"/>
        <w:rPr>
          <w:rFonts w:ascii="Arial Narrow" w:hAnsi="Arial Narrow" w:cs="Tahoma"/>
          <w:sz w:val="24"/>
          <w:szCs w:val="24"/>
        </w:rPr>
      </w:pPr>
    </w:p>
    <w:p w14:paraId="4C321B75" w14:textId="77777777" w:rsidR="00BF7237" w:rsidRDefault="00BF7237" w:rsidP="00BF7237">
      <w:pPr>
        <w:jc w:val="right"/>
        <w:rPr>
          <w:rFonts w:ascii="Arial Narrow" w:hAnsi="Arial Narrow" w:cs="Tahoma"/>
          <w:sz w:val="24"/>
          <w:szCs w:val="24"/>
        </w:rPr>
      </w:pPr>
    </w:p>
    <w:p w14:paraId="3954352A" w14:textId="77777777" w:rsidR="00BF7237" w:rsidRDefault="00BF7237" w:rsidP="00BF7237">
      <w:pPr>
        <w:jc w:val="right"/>
        <w:rPr>
          <w:rFonts w:ascii="Arial Narrow" w:hAnsi="Arial Narrow"/>
        </w:rPr>
      </w:pPr>
      <w:r>
        <w:rPr>
          <w:rFonts w:ascii="Arial Narrow" w:hAnsi="Arial Narrow" w:cs="Tahoma"/>
          <w:b/>
          <w:sz w:val="24"/>
          <w:szCs w:val="24"/>
        </w:rPr>
        <w:t>Août 2020</w:t>
      </w:r>
    </w:p>
    <w:sdt>
      <w:sdtPr>
        <w:rPr>
          <w:rFonts w:ascii="Calibri" w:eastAsiaTheme="minorEastAsia" w:hAnsi="Calibri" w:cs="Times New Roman"/>
          <w:color w:val="auto"/>
          <w:sz w:val="22"/>
          <w:szCs w:val="22"/>
          <w:lang w:val="fr-FR"/>
        </w:rPr>
        <w:id w:val="815379608"/>
        <w:docPartObj>
          <w:docPartGallery w:val="Table of Contents"/>
          <w:docPartUnique/>
        </w:docPartObj>
      </w:sdtPr>
      <w:sdtEndPr>
        <w:rPr>
          <w:b/>
          <w:bCs/>
          <w:noProof/>
        </w:rPr>
      </w:sdtEndPr>
      <w:sdtContent>
        <w:p w14:paraId="6E88680B" w14:textId="77777777" w:rsidR="00DB58A3" w:rsidRDefault="00DB58A3">
          <w:pPr>
            <w:pStyle w:val="En-ttedetabledesmatires"/>
          </w:pPr>
          <w:r>
            <w:t>TABLE DES MATIERES</w:t>
          </w:r>
        </w:p>
        <w:p w14:paraId="020C5B65" w14:textId="77777777" w:rsidR="00DB58A3" w:rsidRPr="00D161D7" w:rsidRDefault="00DB58A3" w:rsidP="00DB58A3">
          <w:pPr>
            <w:rPr>
              <w:rFonts w:ascii="Times New Roman" w:hAnsi="Times New Roman"/>
              <w:sz w:val="20"/>
              <w:szCs w:val="20"/>
              <w:lang w:val="en-US"/>
            </w:rPr>
          </w:pPr>
        </w:p>
        <w:p w14:paraId="2F1AECA9" w14:textId="77777777" w:rsidR="00D161D7" w:rsidRPr="00D161D7" w:rsidRDefault="00DB58A3" w:rsidP="00D161D7">
          <w:pPr>
            <w:pStyle w:val="TM2"/>
            <w:tabs>
              <w:tab w:val="left" w:pos="660"/>
              <w:tab w:val="right" w:leader="dot" w:pos="9016"/>
            </w:tabs>
            <w:ind w:left="0"/>
            <w:rPr>
              <w:rFonts w:ascii="Times New Roman" w:hAnsi="Times New Roman"/>
              <w:noProof/>
              <w:sz w:val="20"/>
              <w:szCs w:val="20"/>
              <w:lang w:val="en-US"/>
            </w:rPr>
          </w:pPr>
          <w:r w:rsidRPr="00D161D7">
            <w:rPr>
              <w:rFonts w:ascii="Times New Roman" w:hAnsi="Times New Roman"/>
              <w:sz w:val="20"/>
              <w:szCs w:val="20"/>
            </w:rPr>
            <w:fldChar w:fldCharType="begin"/>
          </w:r>
          <w:r w:rsidRPr="00D161D7">
            <w:rPr>
              <w:rFonts w:ascii="Times New Roman" w:hAnsi="Times New Roman"/>
              <w:sz w:val="20"/>
              <w:szCs w:val="20"/>
            </w:rPr>
            <w:instrText xml:space="preserve"> TOC \o "1-3" \h \z \u </w:instrText>
          </w:r>
          <w:r w:rsidRPr="00D161D7">
            <w:rPr>
              <w:rFonts w:ascii="Times New Roman" w:hAnsi="Times New Roman"/>
              <w:sz w:val="20"/>
              <w:szCs w:val="20"/>
            </w:rPr>
            <w:fldChar w:fldCharType="separate"/>
          </w:r>
          <w:hyperlink w:anchor="_Toc48742280" w:history="1">
            <w:r w:rsidR="00D161D7" w:rsidRPr="00D161D7">
              <w:rPr>
                <w:rStyle w:val="Lienhypertexte"/>
                <w:rFonts w:ascii="Times New Roman" w:hAnsi="Times New Roman"/>
                <w:b/>
                <w:noProof/>
                <w:sz w:val="20"/>
                <w:szCs w:val="20"/>
              </w:rPr>
              <w:t>A)</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ETAT DE MISE EN ŒUVRE DES ACTIVITES PAR STRUCTURE</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_Toc48742280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4</w:t>
            </w:r>
            <w:r w:rsidR="00D161D7" w:rsidRPr="00D161D7">
              <w:rPr>
                <w:rFonts w:ascii="Times New Roman" w:hAnsi="Times New Roman"/>
                <w:noProof/>
                <w:webHidden/>
                <w:sz w:val="20"/>
                <w:szCs w:val="20"/>
              </w:rPr>
              <w:fldChar w:fldCharType="end"/>
            </w:r>
          </w:hyperlink>
        </w:p>
        <w:p w14:paraId="36F5E75D" w14:textId="77777777" w:rsidR="00D161D7" w:rsidRPr="00D161D7" w:rsidRDefault="00F72D85">
          <w:pPr>
            <w:pStyle w:val="TM2"/>
            <w:tabs>
              <w:tab w:val="left" w:pos="660"/>
              <w:tab w:val="right" w:leader="dot" w:pos="9016"/>
            </w:tabs>
            <w:rPr>
              <w:rFonts w:ascii="Times New Roman" w:hAnsi="Times New Roman"/>
              <w:noProof/>
              <w:sz w:val="20"/>
              <w:szCs w:val="20"/>
              <w:lang w:val="en-US"/>
            </w:rPr>
          </w:pPr>
          <w:hyperlink w:anchor="_Toc48742281" w:history="1">
            <w:r w:rsidR="00D161D7" w:rsidRPr="00D161D7">
              <w:rPr>
                <w:rStyle w:val="Lienhypertexte"/>
                <w:rFonts w:ascii="Times New Roman" w:hAnsi="Times New Roman"/>
                <w:b/>
                <w:noProof/>
                <w:sz w:val="20"/>
                <w:szCs w:val="20"/>
              </w:rPr>
              <w:t>I.</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CELLULE TECHNIQUE DU CADRE STRATEGIQUE DE LUTTE CONTRE LA PAUVRETE (CT-CSLP)</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_Toc48742281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4</w:t>
            </w:r>
            <w:r w:rsidR="00D161D7" w:rsidRPr="00D161D7">
              <w:rPr>
                <w:rFonts w:ascii="Times New Roman" w:hAnsi="Times New Roman"/>
                <w:noProof/>
                <w:webHidden/>
                <w:sz w:val="20"/>
                <w:szCs w:val="20"/>
              </w:rPr>
              <w:fldChar w:fldCharType="end"/>
            </w:r>
          </w:hyperlink>
        </w:p>
        <w:p w14:paraId="12B9AEB5" w14:textId="77777777" w:rsidR="00D161D7" w:rsidRPr="00D161D7" w:rsidRDefault="00F72D85">
          <w:pPr>
            <w:pStyle w:val="TM2"/>
            <w:tabs>
              <w:tab w:val="left" w:pos="660"/>
              <w:tab w:val="right" w:leader="dot" w:pos="9016"/>
            </w:tabs>
            <w:rPr>
              <w:rFonts w:ascii="Times New Roman" w:hAnsi="Times New Roman"/>
              <w:noProof/>
              <w:sz w:val="20"/>
              <w:szCs w:val="20"/>
              <w:lang w:val="en-US"/>
            </w:rPr>
          </w:pPr>
          <w:hyperlink w:anchor="_Toc48742282" w:history="1">
            <w:r w:rsidR="00D161D7" w:rsidRPr="00D161D7">
              <w:rPr>
                <w:rStyle w:val="Lienhypertexte"/>
                <w:rFonts w:ascii="Times New Roman" w:hAnsi="Times New Roman"/>
                <w:b/>
                <w:noProof/>
                <w:sz w:val="20"/>
                <w:szCs w:val="20"/>
              </w:rPr>
              <w:t>II.</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OBSERVATOIRE DU DÉVELOPPEMENT HUMAIN DURABLE ET DE LUTTE CONTRE LA PAUVRETÉ</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_Toc48742282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10</w:t>
            </w:r>
            <w:r w:rsidR="00D161D7" w:rsidRPr="00D161D7">
              <w:rPr>
                <w:rFonts w:ascii="Times New Roman" w:hAnsi="Times New Roman"/>
                <w:noProof/>
                <w:webHidden/>
                <w:sz w:val="20"/>
                <w:szCs w:val="20"/>
              </w:rPr>
              <w:fldChar w:fldCharType="end"/>
            </w:r>
          </w:hyperlink>
        </w:p>
        <w:p w14:paraId="78701A03" w14:textId="77777777" w:rsidR="00D161D7" w:rsidRPr="00D161D7" w:rsidRDefault="00F72D85">
          <w:pPr>
            <w:pStyle w:val="TM2"/>
            <w:tabs>
              <w:tab w:val="left" w:pos="660"/>
              <w:tab w:val="right" w:leader="dot" w:pos="9016"/>
            </w:tabs>
            <w:rPr>
              <w:rFonts w:ascii="Times New Roman" w:hAnsi="Times New Roman"/>
              <w:noProof/>
              <w:sz w:val="20"/>
              <w:szCs w:val="20"/>
              <w:lang w:val="en-US"/>
            </w:rPr>
          </w:pPr>
          <w:hyperlink w:anchor="_Toc48742283" w:history="1">
            <w:r w:rsidR="00D161D7" w:rsidRPr="00D161D7">
              <w:rPr>
                <w:rStyle w:val="Lienhypertexte"/>
                <w:rFonts w:ascii="Times New Roman" w:hAnsi="Times New Roman"/>
                <w:b/>
                <w:noProof/>
                <w:sz w:val="20"/>
                <w:szCs w:val="20"/>
              </w:rPr>
              <w:t>III.</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SECRETARIAT A L’HARMONISATION DE L’AIDE (SHA)</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_Toc48742283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15</w:t>
            </w:r>
            <w:r w:rsidR="00D161D7" w:rsidRPr="00D161D7">
              <w:rPr>
                <w:rFonts w:ascii="Times New Roman" w:hAnsi="Times New Roman"/>
                <w:noProof/>
                <w:webHidden/>
                <w:sz w:val="20"/>
                <w:szCs w:val="20"/>
              </w:rPr>
              <w:fldChar w:fldCharType="end"/>
            </w:r>
          </w:hyperlink>
        </w:p>
        <w:p w14:paraId="7FA2D122" w14:textId="77777777" w:rsidR="00D161D7" w:rsidRPr="00D161D7" w:rsidRDefault="00D161D7">
          <w:pPr>
            <w:pStyle w:val="TM1"/>
            <w:tabs>
              <w:tab w:val="left" w:pos="660"/>
              <w:tab w:val="right" w:leader="dot" w:pos="9016"/>
            </w:tabs>
            <w:rPr>
              <w:rFonts w:ascii="Times New Roman" w:hAnsi="Times New Roman"/>
              <w:noProof/>
              <w:sz w:val="20"/>
              <w:szCs w:val="20"/>
              <w:lang w:val="en-US"/>
            </w:rPr>
          </w:pPr>
          <w:r w:rsidRPr="00D161D7">
            <w:rPr>
              <w:rStyle w:val="Lienhypertexte"/>
              <w:rFonts w:ascii="Times New Roman" w:hAnsi="Times New Roman"/>
              <w:noProof/>
              <w:sz w:val="20"/>
              <w:szCs w:val="20"/>
            </w:rPr>
            <w:t xml:space="preserve">    </w:t>
          </w:r>
          <w:hyperlink w:anchor="_Toc48742284" w:history="1">
            <w:r w:rsidRPr="00D161D7">
              <w:rPr>
                <w:rStyle w:val="Lienhypertexte"/>
                <w:rFonts w:ascii="Times New Roman" w:hAnsi="Times New Roman"/>
                <w:b/>
                <w:noProof/>
                <w:sz w:val="20"/>
                <w:szCs w:val="20"/>
              </w:rPr>
              <w:t>IV.</w:t>
            </w:r>
            <w:r w:rsidRPr="00D161D7">
              <w:rPr>
                <w:rFonts w:ascii="Times New Roman" w:hAnsi="Times New Roman"/>
                <w:noProof/>
                <w:sz w:val="20"/>
                <w:szCs w:val="20"/>
                <w:lang w:val="en-US"/>
              </w:rPr>
              <w:tab/>
            </w:r>
            <w:r w:rsidRPr="00D161D7">
              <w:rPr>
                <w:rStyle w:val="Lienhypertexte"/>
                <w:rFonts w:ascii="Times New Roman" w:hAnsi="Times New Roman"/>
                <w:b/>
                <w:noProof/>
                <w:sz w:val="20"/>
                <w:szCs w:val="20"/>
              </w:rPr>
              <w:t>DIRECTION DE LA COOPERATION MULTILATERALE (DCM)</w:t>
            </w:r>
            <w:r w:rsidRPr="00D161D7">
              <w:rPr>
                <w:rFonts w:ascii="Times New Roman" w:hAnsi="Times New Roman"/>
                <w:noProof/>
                <w:webHidden/>
                <w:sz w:val="20"/>
                <w:szCs w:val="20"/>
              </w:rPr>
              <w:tab/>
            </w:r>
            <w:r w:rsidRPr="00D161D7">
              <w:rPr>
                <w:rFonts w:ascii="Times New Roman" w:hAnsi="Times New Roman"/>
                <w:noProof/>
                <w:webHidden/>
                <w:sz w:val="20"/>
                <w:szCs w:val="20"/>
              </w:rPr>
              <w:fldChar w:fldCharType="begin"/>
            </w:r>
            <w:r w:rsidRPr="00D161D7">
              <w:rPr>
                <w:rFonts w:ascii="Times New Roman" w:hAnsi="Times New Roman"/>
                <w:noProof/>
                <w:webHidden/>
                <w:sz w:val="20"/>
                <w:szCs w:val="20"/>
              </w:rPr>
              <w:instrText xml:space="preserve"> PAGEREF _Toc48742284 \h </w:instrText>
            </w:r>
            <w:r w:rsidRPr="00D161D7">
              <w:rPr>
                <w:rFonts w:ascii="Times New Roman" w:hAnsi="Times New Roman"/>
                <w:noProof/>
                <w:webHidden/>
                <w:sz w:val="20"/>
                <w:szCs w:val="20"/>
              </w:rPr>
            </w:r>
            <w:r w:rsidRPr="00D161D7">
              <w:rPr>
                <w:rFonts w:ascii="Times New Roman" w:hAnsi="Times New Roman"/>
                <w:noProof/>
                <w:webHidden/>
                <w:sz w:val="20"/>
                <w:szCs w:val="20"/>
              </w:rPr>
              <w:fldChar w:fldCharType="separate"/>
            </w:r>
            <w:r w:rsidRPr="00D161D7">
              <w:rPr>
                <w:rFonts w:ascii="Times New Roman" w:hAnsi="Times New Roman"/>
                <w:noProof/>
                <w:webHidden/>
                <w:sz w:val="20"/>
                <w:szCs w:val="20"/>
              </w:rPr>
              <w:t>16</w:t>
            </w:r>
            <w:r w:rsidRPr="00D161D7">
              <w:rPr>
                <w:rFonts w:ascii="Times New Roman" w:hAnsi="Times New Roman"/>
                <w:noProof/>
                <w:webHidden/>
                <w:sz w:val="20"/>
                <w:szCs w:val="20"/>
              </w:rPr>
              <w:fldChar w:fldCharType="end"/>
            </w:r>
          </w:hyperlink>
        </w:p>
        <w:p w14:paraId="243E02DC" w14:textId="77777777" w:rsidR="00D161D7" w:rsidRPr="00D161D7" w:rsidRDefault="00F72D85">
          <w:pPr>
            <w:pStyle w:val="TM1"/>
            <w:tabs>
              <w:tab w:val="left" w:pos="440"/>
              <w:tab w:val="right" w:leader="dot" w:pos="9016"/>
            </w:tabs>
            <w:rPr>
              <w:rFonts w:ascii="Times New Roman" w:hAnsi="Times New Roman"/>
              <w:noProof/>
              <w:sz w:val="20"/>
              <w:szCs w:val="20"/>
              <w:lang w:val="en-US"/>
            </w:rPr>
          </w:pPr>
          <w:hyperlink w:anchor="_Toc48742285" w:history="1">
            <w:r w:rsidR="00D161D7" w:rsidRPr="00D161D7">
              <w:rPr>
                <w:rStyle w:val="Lienhypertexte"/>
                <w:rFonts w:ascii="Times New Roman" w:hAnsi="Times New Roman"/>
                <w:b/>
                <w:noProof/>
                <w:sz w:val="20"/>
                <w:szCs w:val="20"/>
              </w:rPr>
              <w:t>B)</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APPRECIATION GLOBALE DE LA MISE EN ŒUVRE DES ACTIVITES PHARES</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_Toc48742285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18</w:t>
            </w:r>
            <w:r w:rsidR="00D161D7" w:rsidRPr="00D161D7">
              <w:rPr>
                <w:rFonts w:ascii="Times New Roman" w:hAnsi="Times New Roman"/>
                <w:noProof/>
                <w:webHidden/>
                <w:sz w:val="20"/>
                <w:szCs w:val="20"/>
              </w:rPr>
              <w:fldChar w:fldCharType="end"/>
            </w:r>
          </w:hyperlink>
        </w:p>
        <w:p w14:paraId="7A006EFC" w14:textId="77777777" w:rsidR="00D161D7" w:rsidRPr="00D161D7" w:rsidRDefault="00F72D85">
          <w:pPr>
            <w:pStyle w:val="TM1"/>
            <w:tabs>
              <w:tab w:val="left" w:pos="440"/>
              <w:tab w:val="right" w:leader="dot" w:pos="9016"/>
            </w:tabs>
            <w:rPr>
              <w:rFonts w:ascii="Times New Roman" w:hAnsi="Times New Roman"/>
              <w:noProof/>
              <w:sz w:val="20"/>
              <w:szCs w:val="20"/>
              <w:lang w:val="en-US"/>
            </w:rPr>
          </w:pPr>
          <w:hyperlink w:anchor="_Toc48742286" w:history="1">
            <w:r w:rsidR="00D161D7" w:rsidRPr="00D161D7">
              <w:rPr>
                <w:rStyle w:val="Lienhypertexte"/>
                <w:rFonts w:ascii="Times New Roman" w:hAnsi="Times New Roman"/>
                <w:b/>
                <w:noProof/>
                <w:sz w:val="20"/>
                <w:szCs w:val="20"/>
              </w:rPr>
              <w:t>C)</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EXECUTION FINANCIERE</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_Toc48742286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19</w:t>
            </w:r>
            <w:r w:rsidR="00D161D7" w:rsidRPr="00D161D7">
              <w:rPr>
                <w:rFonts w:ascii="Times New Roman" w:hAnsi="Times New Roman"/>
                <w:noProof/>
                <w:webHidden/>
                <w:sz w:val="20"/>
                <w:szCs w:val="20"/>
              </w:rPr>
              <w:fldChar w:fldCharType="end"/>
            </w:r>
          </w:hyperlink>
        </w:p>
        <w:p w14:paraId="7DAEBB2B" w14:textId="77777777" w:rsidR="00D161D7" w:rsidRPr="00D161D7" w:rsidRDefault="00F72D85">
          <w:pPr>
            <w:pStyle w:val="TM1"/>
            <w:tabs>
              <w:tab w:val="left" w:pos="440"/>
              <w:tab w:val="right" w:leader="dot" w:pos="9016"/>
            </w:tabs>
            <w:rPr>
              <w:rFonts w:ascii="Times New Roman" w:hAnsi="Times New Roman"/>
              <w:noProof/>
              <w:sz w:val="20"/>
              <w:szCs w:val="20"/>
              <w:lang w:val="en-US"/>
            </w:rPr>
          </w:pPr>
          <w:hyperlink w:anchor="_Toc48742287" w:history="1">
            <w:r w:rsidR="00D161D7" w:rsidRPr="00D161D7">
              <w:rPr>
                <w:rStyle w:val="Lienhypertexte"/>
                <w:rFonts w:ascii="Times New Roman" w:hAnsi="Times New Roman"/>
                <w:b/>
                <w:noProof/>
                <w:sz w:val="20"/>
                <w:szCs w:val="20"/>
              </w:rPr>
              <w:t>D)</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CONTRAINTES ET DIFFICULTES</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_Toc48742287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19</w:t>
            </w:r>
            <w:r w:rsidR="00D161D7" w:rsidRPr="00D161D7">
              <w:rPr>
                <w:rFonts w:ascii="Times New Roman" w:hAnsi="Times New Roman"/>
                <w:noProof/>
                <w:webHidden/>
                <w:sz w:val="20"/>
                <w:szCs w:val="20"/>
              </w:rPr>
              <w:fldChar w:fldCharType="end"/>
            </w:r>
          </w:hyperlink>
        </w:p>
        <w:p w14:paraId="334F6A1E" w14:textId="77777777" w:rsidR="00D161D7" w:rsidRPr="00D161D7" w:rsidRDefault="00F72D85">
          <w:pPr>
            <w:pStyle w:val="TM1"/>
            <w:tabs>
              <w:tab w:val="left" w:pos="440"/>
              <w:tab w:val="right" w:leader="dot" w:pos="9016"/>
            </w:tabs>
            <w:rPr>
              <w:rFonts w:ascii="Times New Roman" w:hAnsi="Times New Roman"/>
              <w:noProof/>
              <w:sz w:val="20"/>
              <w:szCs w:val="20"/>
              <w:lang w:val="en-US"/>
            </w:rPr>
          </w:pPr>
          <w:hyperlink w:anchor="_Toc48742288" w:history="1">
            <w:r w:rsidR="00D161D7" w:rsidRPr="00D161D7">
              <w:rPr>
                <w:rStyle w:val="Lienhypertexte"/>
                <w:rFonts w:ascii="Times New Roman" w:hAnsi="Times New Roman"/>
                <w:b/>
                <w:noProof/>
                <w:sz w:val="20"/>
                <w:szCs w:val="20"/>
              </w:rPr>
              <w:t>E)</w:t>
            </w:r>
            <w:r w:rsidR="00D161D7" w:rsidRPr="00D161D7">
              <w:rPr>
                <w:rFonts w:ascii="Times New Roman" w:hAnsi="Times New Roman"/>
                <w:noProof/>
                <w:sz w:val="20"/>
                <w:szCs w:val="20"/>
                <w:lang w:val="en-US"/>
              </w:rPr>
              <w:tab/>
            </w:r>
            <w:r w:rsidR="00D161D7" w:rsidRPr="00D161D7">
              <w:rPr>
                <w:rStyle w:val="Lienhypertexte"/>
                <w:rFonts w:ascii="Times New Roman" w:hAnsi="Times New Roman"/>
                <w:b/>
                <w:noProof/>
                <w:sz w:val="20"/>
                <w:szCs w:val="20"/>
              </w:rPr>
              <w:t>CONCLUSIONS ET RECOMMANDATIONS</w:t>
            </w:r>
            <w:r w:rsidR="00D161D7" w:rsidRPr="00D161D7">
              <w:rPr>
                <w:rFonts w:ascii="Times New Roman" w:hAnsi="Times New Roman"/>
                <w:noProof/>
                <w:webHidden/>
                <w:sz w:val="20"/>
                <w:szCs w:val="20"/>
              </w:rPr>
              <w:tab/>
            </w:r>
            <w:r w:rsidR="00D161D7" w:rsidRPr="00D161D7">
              <w:rPr>
                <w:rFonts w:ascii="Times New Roman" w:hAnsi="Times New Roman"/>
                <w:noProof/>
                <w:webHidden/>
                <w:sz w:val="20"/>
                <w:szCs w:val="20"/>
              </w:rPr>
              <w:fldChar w:fldCharType="begin"/>
            </w:r>
            <w:r w:rsidR="00D161D7" w:rsidRPr="00D161D7">
              <w:rPr>
                <w:rFonts w:ascii="Times New Roman" w:hAnsi="Times New Roman"/>
                <w:noProof/>
                <w:webHidden/>
                <w:sz w:val="20"/>
                <w:szCs w:val="20"/>
              </w:rPr>
              <w:instrText xml:space="preserve"> PAGEREF _Toc48742288 \h </w:instrText>
            </w:r>
            <w:r w:rsidR="00D161D7" w:rsidRPr="00D161D7">
              <w:rPr>
                <w:rFonts w:ascii="Times New Roman" w:hAnsi="Times New Roman"/>
                <w:noProof/>
                <w:webHidden/>
                <w:sz w:val="20"/>
                <w:szCs w:val="20"/>
              </w:rPr>
            </w:r>
            <w:r w:rsidR="00D161D7" w:rsidRPr="00D161D7">
              <w:rPr>
                <w:rFonts w:ascii="Times New Roman" w:hAnsi="Times New Roman"/>
                <w:noProof/>
                <w:webHidden/>
                <w:sz w:val="20"/>
                <w:szCs w:val="20"/>
              </w:rPr>
              <w:fldChar w:fldCharType="separate"/>
            </w:r>
            <w:r w:rsidR="00D161D7" w:rsidRPr="00D161D7">
              <w:rPr>
                <w:rFonts w:ascii="Times New Roman" w:hAnsi="Times New Roman"/>
                <w:noProof/>
                <w:webHidden/>
                <w:sz w:val="20"/>
                <w:szCs w:val="20"/>
              </w:rPr>
              <w:t>19</w:t>
            </w:r>
            <w:r w:rsidR="00D161D7" w:rsidRPr="00D161D7">
              <w:rPr>
                <w:rFonts w:ascii="Times New Roman" w:hAnsi="Times New Roman"/>
                <w:noProof/>
                <w:webHidden/>
                <w:sz w:val="20"/>
                <w:szCs w:val="20"/>
              </w:rPr>
              <w:fldChar w:fldCharType="end"/>
            </w:r>
          </w:hyperlink>
        </w:p>
        <w:p w14:paraId="08A6C05E" w14:textId="77777777" w:rsidR="00DB58A3" w:rsidRDefault="00DB58A3">
          <w:r w:rsidRPr="00D161D7">
            <w:rPr>
              <w:rFonts w:ascii="Times New Roman" w:hAnsi="Times New Roman"/>
              <w:b/>
              <w:bCs/>
              <w:noProof/>
              <w:sz w:val="20"/>
              <w:szCs w:val="20"/>
            </w:rPr>
            <w:fldChar w:fldCharType="end"/>
          </w:r>
        </w:p>
      </w:sdtContent>
    </w:sdt>
    <w:p w14:paraId="002E83DC" w14:textId="77777777" w:rsidR="00DB58A3" w:rsidRDefault="00DB58A3">
      <w:pPr>
        <w:rPr>
          <w:rFonts w:ascii="Arial Narrow" w:hAnsi="Arial Narrow"/>
          <w:sz w:val="24"/>
          <w:szCs w:val="24"/>
        </w:rPr>
      </w:pPr>
      <w:r>
        <w:rPr>
          <w:rFonts w:ascii="Arial Narrow" w:hAnsi="Arial Narrow"/>
          <w:sz w:val="24"/>
          <w:szCs w:val="24"/>
        </w:rPr>
        <w:br w:type="page"/>
      </w:r>
    </w:p>
    <w:p w14:paraId="13853AC2" w14:textId="77777777" w:rsidR="00303F27" w:rsidRPr="00F82188" w:rsidRDefault="00303F27" w:rsidP="00BF7237">
      <w:pPr>
        <w:jc w:val="both"/>
        <w:rPr>
          <w:rFonts w:ascii="Arial Narrow" w:hAnsi="Arial Narrow"/>
          <w:sz w:val="24"/>
          <w:szCs w:val="24"/>
        </w:rPr>
      </w:pPr>
      <w:r w:rsidRPr="00F82188">
        <w:rPr>
          <w:rFonts w:ascii="Arial Narrow" w:hAnsi="Arial Narrow"/>
          <w:sz w:val="24"/>
          <w:szCs w:val="24"/>
        </w:rPr>
        <w:lastRenderedPageBreak/>
        <w:t>Le Gouvernement du Mali, en partenariat avec le Programme des Nations Unies pour le Développement, a mis en place le Programme d’appui à la gouvernance, à la résilience économique pour la réduction de la pauvreté (PAGER) qui a permis non seulement de fédérer l’ensemble des interventions autour du Cadre stratégique pour la relance économique et le développement durable (CREDD 2016-2018), mais également de rationaliser la gestion des ressources qui sont de plus en plus rares</w:t>
      </w:r>
      <w:r w:rsidR="0049224C" w:rsidRPr="00F82188">
        <w:rPr>
          <w:rFonts w:ascii="Arial Narrow" w:hAnsi="Arial Narrow"/>
          <w:sz w:val="24"/>
          <w:szCs w:val="24"/>
        </w:rPr>
        <w:t>.</w:t>
      </w:r>
    </w:p>
    <w:p w14:paraId="792BE1EB" w14:textId="77777777" w:rsidR="00A06269" w:rsidRPr="00F82188" w:rsidRDefault="00A06269" w:rsidP="00A06269">
      <w:pPr>
        <w:jc w:val="both"/>
        <w:rPr>
          <w:rFonts w:ascii="Arial Narrow" w:hAnsi="Arial Narrow"/>
          <w:sz w:val="24"/>
          <w:szCs w:val="24"/>
        </w:rPr>
      </w:pPr>
      <w:r w:rsidRPr="00F82188">
        <w:rPr>
          <w:rFonts w:ascii="Arial Narrow" w:hAnsi="Arial Narrow"/>
          <w:sz w:val="24"/>
          <w:szCs w:val="24"/>
        </w:rPr>
        <w:t>Le PAGER comprend trois (3) composantes que sont : 1) l’appui aux politiques et aux stratégies économiques, 2) le renforcement de l’efficacité de la gestion de l’aide et 3) le renforcement de la résilience économique.</w:t>
      </w:r>
    </w:p>
    <w:p w14:paraId="2386DA7B" w14:textId="77777777" w:rsidR="0049224C" w:rsidRPr="00F82188" w:rsidRDefault="0049224C" w:rsidP="0049224C">
      <w:pPr>
        <w:tabs>
          <w:tab w:val="num" w:pos="720"/>
        </w:tabs>
        <w:jc w:val="both"/>
        <w:rPr>
          <w:rFonts w:ascii="Arial Narrow" w:hAnsi="Arial Narrow"/>
          <w:sz w:val="24"/>
          <w:szCs w:val="24"/>
        </w:rPr>
      </w:pPr>
      <w:r w:rsidRPr="00F82188">
        <w:rPr>
          <w:rFonts w:ascii="Arial Narrow" w:hAnsi="Arial Narrow"/>
          <w:sz w:val="24"/>
          <w:szCs w:val="24"/>
        </w:rPr>
        <w:t>Les structures impliquées dans la mise en œuvre du PAGER sont : (i) la Direction Nationale de la Planification du Développement</w:t>
      </w:r>
      <w:r w:rsidR="00BD7059" w:rsidRPr="00F82188">
        <w:rPr>
          <w:rFonts w:ascii="Arial Narrow" w:hAnsi="Arial Narrow"/>
          <w:sz w:val="24"/>
          <w:szCs w:val="24"/>
        </w:rPr>
        <w:t xml:space="preserve"> (DNPD)</w:t>
      </w:r>
      <w:r w:rsidRPr="00F82188">
        <w:rPr>
          <w:rFonts w:ascii="Arial Narrow" w:hAnsi="Arial Narrow"/>
          <w:sz w:val="24"/>
          <w:szCs w:val="24"/>
        </w:rPr>
        <w:t>, (ii) la Direction de la Coopération Multilatérale</w:t>
      </w:r>
      <w:r w:rsidR="00BD7059" w:rsidRPr="00F82188">
        <w:rPr>
          <w:rFonts w:ascii="Arial Narrow" w:hAnsi="Arial Narrow"/>
          <w:sz w:val="24"/>
          <w:szCs w:val="24"/>
        </w:rPr>
        <w:t xml:space="preserve"> (DCM)</w:t>
      </w:r>
      <w:r w:rsidRPr="00F82188">
        <w:rPr>
          <w:rFonts w:ascii="Arial Narrow" w:hAnsi="Arial Narrow"/>
          <w:sz w:val="24"/>
          <w:szCs w:val="24"/>
        </w:rPr>
        <w:t>, (iii) la Cellule Technique du Cadre Stratégique de Lutte contre la Pauvreté</w:t>
      </w:r>
      <w:r w:rsidR="00BD7059" w:rsidRPr="00F82188">
        <w:rPr>
          <w:rFonts w:ascii="Arial Narrow" w:hAnsi="Arial Narrow"/>
          <w:sz w:val="24"/>
          <w:szCs w:val="24"/>
        </w:rPr>
        <w:t xml:space="preserve"> (CT/CSLP)</w:t>
      </w:r>
      <w:r w:rsidRPr="00F82188">
        <w:rPr>
          <w:rFonts w:ascii="Arial Narrow" w:hAnsi="Arial Narrow"/>
          <w:sz w:val="24"/>
          <w:szCs w:val="24"/>
        </w:rPr>
        <w:t>, (iv) l’Observatoire du Développement Humain Durable et de la Lutte contre la Pauvreté</w:t>
      </w:r>
      <w:r w:rsidR="00BD7059" w:rsidRPr="00F82188">
        <w:rPr>
          <w:rFonts w:ascii="Arial Narrow" w:hAnsi="Arial Narrow"/>
          <w:sz w:val="24"/>
          <w:szCs w:val="24"/>
        </w:rPr>
        <w:t xml:space="preserve"> (ODHD/LCP)</w:t>
      </w:r>
      <w:r w:rsidRPr="00F82188">
        <w:rPr>
          <w:rFonts w:ascii="Arial Narrow" w:hAnsi="Arial Narrow"/>
          <w:sz w:val="24"/>
          <w:szCs w:val="24"/>
        </w:rPr>
        <w:t>, (v) le Secrétariat à l’Harmonisation de l’Aide</w:t>
      </w:r>
      <w:r w:rsidR="00BD7059" w:rsidRPr="00F82188">
        <w:rPr>
          <w:rFonts w:ascii="Arial Narrow" w:hAnsi="Arial Narrow"/>
          <w:sz w:val="24"/>
          <w:szCs w:val="24"/>
        </w:rPr>
        <w:t xml:space="preserve"> (SHA)</w:t>
      </w:r>
      <w:r w:rsidRPr="00F82188">
        <w:rPr>
          <w:rFonts w:ascii="Arial Narrow" w:hAnsi="Arial Narrow"/>
          <w:sz w:val="24"/>
          <w:szCs w:val="24"/>
        </w:rPr>
        <w:t>, (vi) la Cellule Technique de Réforme du Climat des Affaires</w:t>
      </w:r>
      <w:r w:rsidR="00BD7059" w:rsidRPr="00F82188">
        <w:rPr>
          <w:rFonts w:ascii="Arial Narrow" w:hAnsi="Arial Narrow"/>
          <w:sz w:val="24"/>
          <w:szCs w:val="24"/>
        </w:rPr>
        <w:t xml:space="preserve"> (CTRCA)</w:t>
      </w:r>
      <w:r w:rsidRPr="00F82188">
        <w:rPr>
          <w:rFonts w:ascii="Arial Narrow" w:hAnsi="Arial Narrow"/>
          <w:sz w:val="24"/>
          <w:szCs w:val="24"/>
        </w:rPr>
        <w:t>, (vii) l’Agence pour la Promotion des Exportations</w:t>
      </w:r>
      <w:r w:rsidR="00BD7059" w:rsidRPr="00F82188">
        <w:rPr>
          <w:rFonts w:ascii="Arial Narrow" w:hAnsi="Arial Narrow"/>
          <w:sz w:val="24"/>
          <w:szCs w:val="24"/>
        </w:rPr>
        <w:t xml:space="preserve"> (APEX)</w:t>
      </w:r>
      <w:r w:rsidRPr="00F82188">
        <w:rPr>
          <w:rFonts w:ascii="Arial Narrow" w:hAnsi="Arial Narrow"/>
          <w:sz w:val="24"/>
          <w:szCs w:val="24"/>
        </w:rPr>
        <w:t xml:space="preserve"> et (viii) l’Agence pour la Promotion des Investissements</w:t>
      </w:r>
      <w:r w:rsidR="00BD7059" w:rsidRPr="00F82188">
        <w:rPr>
          <w:rFonts w:ascii="Arial Narrow" w:hAnsi="Arial Narrow"/>
          <w:sz w:val="24"/>
          <w:szCs w:val="24"/>
        </w:rPr>
        <w:t xml:space="preserve"> (API)</w:t>
      </w:r>
      <w:r w:rsidRPr="00F82188">
        <w:rPr>
          <w:rFonts w:ascii="Arial Narrow" w:hAnsi="Arial Narrow"/>
          <w:sz w:val="24"/>
          <w:szCs w:val="24"/>
        </w:rPr>
        <w:t>.</w:t>
      </w:r>
    </w:p>
    <w:p w14:paraId="07787222" w14:textId="77777777" w:rsidR="0049224C" w:rsidRPr="00F82188" w:rsidRDefault="0049224C" w:rsidP="00F82188">
      <w:pPr>
        <w:jc w:val="both"/>
        <w:rPr>
          <w:rFonts w:ascii="Arial Narrow" w:hAnsi="Arial Narrow"/>
          <w:sz w:val="24"/>
          <w:szCs w:val="24"/>
        </w:rPr>
      </w:pPr>
      <w:r w:rsidRPr="00F82188">
        <w:rPr>
          <w:rFonts w:ascii="Arial Narrow" w:hAnsi="Arial Narrow"/>
          <w:sz w:val="24"/>
          <w:szCs w:val="24"/>
        </w:rPr>
        <w:t xml:space="preserve">Le PAGER est arrivé à son terme en décembre 2018. Au plan global, sa mise en œuvre a permis d’engranger des résultats tangibles </w:t>
      </w:r>
      <w:r w:rsidR="00815F60" w:rsidRPr="00F82188">
        <w:rPr>
          <w:rFonts w:ascii="Arial Narrow" w:hAnsi="Arial Narrow"/>
          <w:sz w:val="24"/>
          <w:szCs w:val="24"/>
        </w:rPr>
        <w:t>porta</w:t>
      </w:r>
      <w:r w:rsidRPr="00F82188">
        <w:rPr>
          <w:rFonts w:ascii="Arial Narrow" w:hAnsi="Arial Narrow"/>
          <w:sz w:val="24"/>
          <w:szCs w:val="24"/>
        </w:rPr>
        <w:t>nt sur la planification stratégique du développement basée sur les ODD ; l’appui à la coordination et à l’efficacité de l’aide extérieure; la formulation et le suivi des politiques de réduction de la pauvreté, en particulier le Cadre Stratégique pour la Relance Economique et le Développement Durable (CREDD) ; la promotion du Développement Humain Durable ; l’amélioration du climat des affaires, la promotion des exportations et le renforcement de la résilience économique.</w:t>
      </w:r>
    </w:p>
    <w:p w14:paraId="32BF46D6" w14:textId="77777777" w:rsidR="00A43A49" w:rsidRPr="005142C0" w:rsidRDefault="00A43A49" w:rsidP="00BF7237">
      <w:pPr>
        <w:jc w:val="both"/>
        <w:rPr>
          <w:rFonts w:ascii="Arial Narrow" w:hAnsi="Arial Narrow"/>
          <w:sz w:val="24"/>
          <w:szCs w:val="24"/>
          <w:highlight w:val="green"/>
        </w:rPr>
      </w:pPr>
      <w:r w:rsidRPr="005142C0">
        <w:rPr>
          <w:rFonts w:ascii="Arial Narrow" w:hAnsi="Arial Narrow"/>
          <w:sz w:val="24"/>
          <w:szCs w:val="24"/>
          <w:highlight w:val="green"/>
        </w:rPr>
        <w:t xml:space="preserve">Compte tenu de l’élaboration en cours du nouveau document de programme couvrant la période 2020-2023, il a été convenu lors de la  réunion du Comité technique du 09 janvier 2019 </w:t>
      </w:r>
      <w:r w:rsidR="00CD59B7" w:rsidRPr="005142C0">
        <w:rPr>
          <w:rFonts w:ascii="Arial Narrow" w:hAnsi="Arial Narrow"/>
          <w:sz w:val="24"/>
          <w:szCs w:val="24"/>
          <w:highlight w:val="green"/>
        </w:rPr>
        <w:t xml:space="preserve">tenue à la CT-CSLP </w:t>
      </w:r>
      <w:r w:rsidR="00303F27" w:rsidRPr="005142C0">
        <w:rPr>
          <w:rFonts w:ascii="Arial Narrow" w:hAnsi="Arial Narrow"/>
          <w:sz w:val="24"/>
          <w:szCs w:val="24"/>
          <w:highlight w:val="green"/>
        </w:rPr>
        <w:t xml:space="preserve">et celle du Comité de pilotage </w:t>
      </w:r>
      <w:r w:rsidR="00CD59B7" w:rsidRPr="005142C0">
        <w:rPr>
          <w:rFonts w:ascii="Arial Narrow" w:hAnsi="Arial Narrow"/>
          <w:sz w:val="24"/>
          <w:szCs w:val="24"/>
          <w:highlight w:val="green"/>
        </w:rPr>
        <w:t xml:space="preserve">du 11 mars 2020 tenue à la </w:t>
      </w:r>
      <w:r w:rsidR="00BD7059" w:rsidRPr="005142C0">
        <w:rPr>
          <w:rFonts w:ascii="Arial Narrow" w:hAnsi="Arial Narrow"/>
          <w:sz w:val="24"/>
          <w:szCs w:val="24"/>
          <w:highlight w:val="green"/>
        </w:rPr>
        <w:t xml:space="preserve">Direction de la Coopération Multilatérale </w:t>
      </w:r>
      <w:r w:rsidR="00F82188" w:rsidRPr="005142C0">
        <w:rPr>
          <w:rFonts w:ascii="Arial Narrow" w:hAnsi="Arial Narrow"/>
          <w:sz w:val="24"/>
          <w:szCs w:val="24"/>
          <w:highlight w:val="green"/>
        </w:rPr>
        <w:t>(</w:t>
      </w:r>
      <w:r w:rsidR="00CD59B7" w:rsidRPr="005142C0">
        <w:rPr>
          <w:rFonts w:ascii="Arial Narrow" w:hAnsi="Arial Narrow"/>
          <w:sz w:val="24"/>
          <w:szCs w:val="24"/>
          <w:highlight w:val="green"/>
        </w:rPr>
        <w:t>DCM</w:t>
      </w:r>
      <w:r w:rsidR="00F82188" w:rsidRPr="005142C0">
        <w:rPr>
          <w:rFonts w:ascii="Arial Narrow" w:hAnsi="Arial Narrow"/>
          <w:sz w:val="24"/>
          <w:szCs w:val="24"/>
          <w:highlight w:val="green"/>
        </w:rPr>
        <w:t>)</w:t>
      </w:r>
      <w:r w:rsidR="00CD59B7" w:rsidRPr="005142C0">
        <w:rPr>
          <w:rFonts w:ascii="Arial Narrow" w:hAnsi="Arial Narrow"/>
          <w:sz w:val="24"/>
          <w:szCs w:val="24"/>
          <w:highlight w:val="green"/>
        </w:rPr>
        <w:t xml:space="preserve">, </w:t>
      </w:r>
      <w:r w:rsidRPr="005142C0">
        <w:rPr>
          <w:rFonts w:ascii="Arial Narrow" w:hAnsi="Arial Narrow"/>
          <w:sz w:val="24"/>
          <w:szCs w:val="24"/>
          <w:highlight w:val="green"/>
        </w:rPr>
        <w:t xml:space="preserve">d’élaborer un programme de travail intérimaire qui ne prendra en compte que les activités </w:t>
      </w:r>
      <w:r w:rsidR="00CD59B7" w:rsidRPr="005142C0">
        <w:rPr>
          <w:rFonts w:ascii="Arial Narrow" w:hAnsi="Arial Narrow"/>
          <w:sz w:val="24"/>
          <w:szCs w:val="24"/>
          <w:highlight w:val="green"/>
        </w:rPr>
        <w:t>phares à réaliser d’ici juin 2020 conformément à une  feuille de route arrêtée de façon consensuelle pour la suite.</w:t>
      </w:r>
    </w:p>
    <w:p w14:paraId="6F0D5A54" w14:textId="77777777" w:rsidR="00BD7059" w:rsidRPr="00F82188" w:rsidRDefault="00BD7059" w:rsidP="00BF7237">
      <w:pPr>
        <w:jc w:val="both"/>
        <w:rPr>
          <w:rFonts w:ascii="Arial Narrow" w:hAnsi="Arial Narrow"/>
          <w:sz w:val="24"/>
          <w:szCs w:val="24"/>
        </w:rPr>
      </w:pPr>
      <w:r w:rsidRPr="005142C0">
        <w:rPr>
          <w:rFonts w:ascii="Arial Narrow" w:hAnsi="Arial Narrow"/>
          <w:sz w:val="24"/>
          <w:szCs w:val="24"/>
          <w:highlight w:val="green"/>
        </w:rPr>
        <w:t>Ce programme devrait assurer la continuité du PAGER en attendant la finalisation et l’approbation du futur/nouveau PRODOC du programme qu’est le PACEM, devant relayer les activités phares ainsi que d’autres activités pertinentes</w:t>
      </w:r>
      <w:r w:rsidRPr="00F82188">
        <w:rPr>
          <w:rFonts w:ascii="Arial Narrow" w:hAnsi="Arial Narrow"/>
          <w:sz w:val="24"/>
          <w:szCs w:val="24"/>
        </w:rPr>
        <w:t>.</w:t>
      </w:r>
    </w:p>
    <w:p w14:paraId="6E4F3981" w14:textId="77777777" w:rsidR="00A43A49" w:rsidRPr="00F82188" w:rsidRDefault="00A43A49" w:rsidP="00A43A49">
      <w:pPr>
        <w:rPr>
          <w:rFonts w:ascii="Arial Narrow" w:hAnsi="Arial Narrow"/>
          <w:sz w:val="24"/>
          <w:szCs w:val="24"/>
        </w:rPr>
      </w:pPr>
      <w:r w:rsidRPr="00F82188">
        <w:rPr>
          <w:rFonts w:ascii="Arial Narrow" w:hAnsi="Arial Narrow"/>
          <w:sz w:val="24"/>
          <w:szCs w:val="24"/>
        </w:rPr>
        <w:t xml:space="preserve">Le présent rapport fait le point des réalisations au cours de la période allant de </w:t>
      </w:r>
      <w:r w:rsidR="00CD59B7" w:rsidRPr="00F82188">
        <w:rPr>
          <w:rFonts w:ascii="Arial Narrow" w:hAnsi="Arial Narrow"/>
          <w:sz w:val="24"/>
          <w:szCs w:val="24"/>
        </w:rPr>
        <w:t xml:space="preserve">mars </w:t>
      </w:r>
      <w:r w:rsidRPr="00F82188">
        <w:rPr>
          <w:rFonts w:ascii="Arial Narrow" w:hAnsi="Arial Narrow"/>
          <w:sz w:val="24"/>
          <w:szCs w:val="24"/>
        </w:rPr>
        <w:t xml:space="preserve">à </w:t>
      </w:r>
      <w:r w:rsidR="00CD59B7" w:rsidRPr="00F82188">
        <w:rPr>
          <w:rFonts w:ascii="Arial Narrow" w:hAnsi="Arial Narrow"/>
          <w:sz w:val="24"/>
          <w:szCs w:val="24"/>
        </w:rPr>
        <w:t>juillet</w:t>
      </w:r>
      <w:r w:rsidRPr="00F82188">
        <w:rPr>
          <w:rFonts w:ascii="Arial Narrow" w:hAnsi="Arial Narrow"/>
          <w:sz w:val="24"/>
          <w:szCs w:val="24"/>
        </w:rPr>
        <w:t xml:space="preserve"> 20</w:t>
      </w:r>
      <w:r w:rsidR="00CD59B7" w:rsidRPr="00F82188">
        <w:rPr>
          <w:rFonts w:ascii="Arial Narrow" w:hAnsi="Arial Narrow"/>
          <w:sz w:val="24"/>
          <w:szCs w:val="24"/>
        </w:rPr>
        <w:t>20</w:t>
      </w:r>
      <w:r w:rsidR="00FD28DA" w:rsidRPr="00F82188">
        <w:rPr>
          <w:rFonts w:ascii="Arial Narrow" w:hAnsi="Arial Narrow"/>
          <w:sz w:val="24"/>
          <w:szCs w:val="24"/>
        </w:rPr>
        <w:t>.</w:t>
      </w:r>
    </w:p>
    <w:p w14:paraId="705E06C4" w14:textId="77777777" w:rsidR="00CF4997" w:rsidRDefault="00CF4997">
      <w:pPr>
        <w:rPr>
          <w:rFonts w:ascii="Arial Narrow" w:hAnsi="Arial Narrow"/>
          <w:sz w:val="24"/>
          <w:szCs w:val="24"/>
        </w:rPr>
      </w:pPr>
      <w:r>
        <w:rPr>
          <w:rFonts w:ascii="Arial Narrow" w:hAnsi="Arial Narrow"/>
          <w:sz w:val="24"/>
          <w:szCs w:val="24"/>
        </w:rPr>
        <w:br w:type="page"/>
      </w:r>
    </w:p>
    <w:p w14:paraId="6236859C" w14:textId="77777777" w:rsidR="00CF4997" w:rsidRDefault="00CF4997" w:rsidP="00A43A49">
      <w:pPr>
        <w:rPr>
          <w:rFonts w:ascii="Arial Narrow" w:hAnsi="Arial Narrow"/>
          <w:sz w:val="24"/>
          <w:szCs w:val="24"/>
        </w:rPr>
      </w:pPr>
    </w:p>
    <w:p w14:paraId="60B0ADFA" w14:textId="77777777" w:rsidR="00CD59B7" w:rsidRPr="000E5300" w:rsidRDefault="00CD59B7" w:rsidP="00E15C85">
      <w:pPr>
        <w:pStyle w:val="Paragraphedeliste"/>
        <w:numPr>
          <w:ilvl w:val="0"/>
          <w:numId w:val="5"/>
        </w:numPr>
        <w:suppressAutoHyphens w:val="0"/>
        <w:ind w:firstLine="0"/>
        <w:jc w:val="both"/>
        <w:outlineLvl w:val="1"/>
        <w:rPr>
          <w:rFonts w:ascii="Arial Narrow" w:hAnsi="Arial Narrow"/>
          <w:b/>
          <w:sz w:val="28"/>
          <w:szCs w:val="28"/>
        </w:rPr>
      </w:pPr>
      <w:bookmarkStart w:id="0" w:name="_Toc536706907"/>
      <w:bookmarkStart w:id="1" w:name="_Toc48742280"/>
      <w:r w:rsidRPr="000E5300">
        <w:rPr>
          <w:rFonts w:ascii="Arial Narrow" w:hAnsi="Arial Narrow"/>
          <w:b/>
          <w:sz w:val="28"/>
          <w:szCs w:val="28"/>
        </w:rPr>
        <w:t>ETAT DE MISE EN ŒUVRE DES ACTIVITES PAR STRUCTURE</w:t>
      </w:r>
      <w:bookmarkEnd w:id="0"/>
      <w:bookmarkEnd w:id="1"/>
    </w:p>
    <w:p w14:paraId="750F36C5" w14:textId="77777777" w:rsidR="00CD59B7" w:rsidRDefault="00CD59B7" w:rsidP="00CD59B7">
      <w:pPr>
        <w:rPr>
          <w:rFonts w:ascii="Arial Narrow" w:hAnsi="Arial Narrow"/>
          <w:sz w:val="24"/>
          <w:szCs w:val="24"/>
        </w:rPr>
      </w:pPr>
    </w:p>
    <w:p w14:paraId="63B5136F" w14:textId="77777777" w:rsidR="00CD59B7" w:rsidRPr="000E5300" w:rsidRDefault="00CD59B7" w:rsidP="00CD59B7">
      <w:pPr>
        <w:pStyle w:val="Paragraphedeliste"/>
        <w:numPr>
          <w:ilvl w:val="0"/>
          <w:numId w:val="4"/>
        </w:numPr>
        <w:suppressAutoHyphens w:val="0"/>
        <w:ind w:firstLine="0"/>
        <w:jc w:val="both"/>
        <w:outlineLvl w:val="1"/>
        <w:rPr>
          <w:rFonts w:ascii="Arial Narrow" w:hAnsi="Arial Narrow"/>
          <w:b/>
          <w:color w:val="00B050"/>
        </w:rPr>
      </w:pPr>
      <w:bookmarkStart w:id="2" w:name="_Toc501029044"/>
      <w:bookmarkStart w:id="3" w:name="_Toc536706908"/>
      <w:bookmarkStart w:id="4" w:name="_Toc48742281"/>
      <w:r w:rsidRPr="000E5300">
        <w:rPr>
          <w:rFonts w:ascii="Arial Narrow" w:hAnsi="Arial Narrow"/>
          <w:b/>
          <w:color w:val="00B050"/>
        </w:rPr>
        <w:t>CELLULE TECHNIQUE DU CADRE STRATEGIQUE DE LUTTE CONTRE LA PAUVRETE (CT-CSLP)</w:t>
      </w:r>
      <w:bookmarkEnd w:id="2"/>
      <w:bookmarkEnd w:id="3"/>
      <w:bookmarkEnd w:id="4"/>
    </w:p>
    <w:p w14:paraId="34B76A82" w14:textId="77777777" w:rsidR="00CD59B7" w:rsidRDefault="00CD59B7" w:rsidP="00A43A49">
      <w:pPr>
        <w:rPr>
          <w:rFonts w:ascii="Arial Narrow" w:eastAsia="Calibri" w:hAnsi="Arial Narrow"/>
          <w:b/>
          <w:sz w:val="24"/>
          <w:szCs w:val="24"/>
        </w:rPr>
      </w:pPr>
    </w:p>
    <w:p w14:paraId="7B7DC741" w14:textId="77777777" w:rsidR="00A06269" w:rsidRPr="00D81A10" w:rsidRDefault="00FD28DA" w:rsidP="00D81A10">
      <w:pPr>
        <w:pStyle w:val="Paragraphedeliste"/>
        <w:numPr>
          <w:ilvl w:val="1"/>
          <w:numId w:val="4"/>
        </w:numPr>
        <w:rPr>
          <w:rFonts w:ascii="Arial Narrow" w:eastAsia="Calibri" w:hAnsi="Arial Narrow"/>
          <w:b/>
          <w:sz w:val="28"/>
          <w:szCs w:val="28"/>
        </w:rPr>
      </w:pPr>
      <w:r>
        <w:rPr>
          <w:rFonts w:ascii="Arial Narrow" w:eastAsia="Calibri" w:hAnsi="Arial Narrow"/>
          <w:b/>
          <w:sz w:val="28"/>
          <w:szCs w:val="28"/>
        </w:rPr>
        <w:t>Etat de mise en œuvre des activités de la CT-CSLP</w:t>
      </w:r>
    </w:p>
    <w:p w14:paraId="2351F423" w14:textId="77777777" w:rsidR="00D81A10" w:rsidRPr="00D81A10" w:rsidRDefault="00D81A10" w:rsidP="00D81A10">
      <w:pPr>
        <w:pStyle w:val="Paragraphedeliste"/>
        <w:ind w:left="1080"/>
        <w:rPr>
          <w:rFonts w:ascii="Arial Narrow" w:eastAsia="Calibri" w:hAnsi="Arial Narrow"/>
          <w:b/>
        </w:rPr>
      </w:pPr>
    </w:p>
    <w:p w14:paraId="1A0FAF5E" w14:textId="77777777" w:rsidR="00A06269" w:rsidRPr="00F82188" w:rsidRDefault="00A06269" w:rsidP="00F82188">
      <w:pPr>
        <w:jc w:val="both"/>
        <w:rPr>
          <w:rFonts w:ascii="Arial Narrow" w:eastAsia="Calibri" w:hAnsi="Arial Narrow"/>
          <w:sz w:val="24"/>
          <w:szCs w:val="24"/>
        </w:rPr>
      </w:pPr>
      <w:r w:rsidRPr="00F82188">
        <w:rPr>
          <w:rFonts w:ascii="Arial Narrow" w:hAnsi="Arial Narrow"/>
          <w:sz w:val="24"/>
          <w:szCs w:val="24"/>
        </w:rPr>
        <w:t>La Cellule Technique CSLP intervient au niveau des objectifs stratégiques 2, 3, 4 et 5 de la première composante et de l’objectif stratégique 1 de la troisième composante.</w:t>
      </w:r>
    </w:p>
    <w:p w14:paraId="66C77C04" w14:textId="77777777" w:rsidR="00176EA3" w:rsidRPr="00F82188" w:rsidRDefault="00BD7059" w:rsidP="00F82188">
      <w:pPr>
        <w:jc w:val="both"/>
        <w:rPr>
          <w:rFonts w:ascii="Arial Narrow" w:eastAsia="Calibri" w:hAnsi="Arial Narrow"/>
          <w:b/>
          <w:sz w:val="24"/>
          <w:szCs w:val="24"/>
        </w:rPr>
      </w:pPr>
      <w:r w:rsidRPr="005142C0">
        <w:rPr>
          <w:rFonts w:ascii="Arial Narrow" w:eastAsia="Calibri" w:hAnsi="Arial Narrow"/>
          <w:sz w:val="24"/>
          <w:szCs w:val="24"/>
          <w:highlight w:val="green"/>
        </w:rPr>
        <w:t>Une seule activité phare avait été retenue sur les propositions faites</w:t>
      </w:r>
      <w:r w:rsidR="004B1598" w:rsidRPr="005142C0">
        <w:rPr>
          <w:rFonts w:ascii="Arial Narrow" w:eastAsia="Calibri" w:hAnsi="Arial Narrow"/>
          <w:sz w:val="24"/>
          <w:szCs w:val="24"/>
          <w:highlight w:val="green"/>
        </w:rPr>
        <w:t>,</w:t>
      </w:r>
      <w:r w:rsidRPr="005142C0">
        <w:rPr>
          <w:rFonts w:ascii="Arial Narrow" w:eastAsia="Calibri" w:hAnsi="Arial Narrow"/>
          <w:sz w:val="24"/>
          <w:szCs w:val="24"/>
          <w:highlight w:val="green"/>
        </w:rPr>
        <w:t xml:space="preserve"> portant sur </w:t>
      </w:r>
      <w:r w:rsidR="001045D3" w:rsidRPr="005142C0">
        <w:rPr>
          <w:rFonts w:ascii="Arial Narrow" w:eastAsia="Calibri" w:hAnsi="Arial Narrow"/>
          <w:sz w:val="24"/>
          <w:szCs w:val="24"/>
          <w:highlight w:val="green"/>
        </w:rPr>
        <w:t>l’appui à l’organisation de la revue du CREDD et des ODD. En outre</w:t>
      </w:r>
      <w:r w:rsidR="004B1598" w:rsidRPr="005142C0">
        <w:rPr>
          <w:rFonts w:ascii="Arial Narrow" w:eastAsia="Calibri" w:hAnsi="Arial Narrow"/>
          <w:sz w:val="24"/>
          <w:szCs w:val="24"/>
          <w:highlight w:val="green"/>
        </w:rPr>
        <w:t>,</w:t>
      </w:r>
      <w:r w:rsidR="001045D3" w:rsidRPr="005142C0">
        <w:rPr>
          <w:rFonts w:ascii="Arial Narrow" w:eastAsia="Calibri" w:hAnsi="Arial Narrow"/>
          <w:sz w:val="24"/>
          <w:szCs w:val="24"/>
          <w:highlight w:val="green"/>
        </w:rPr>
        <w:t xml:space="preserve"> un appui au fonctionnement a également été retenu</w:t>
      </w:r>
      <w:r w:rsidR="004B1598" w:rsidRPr="005142C0">
        <w:rPr>
          <w:rFonts w:ascii="Arial Narrow" w:eastAsia="Calibri" w:hAnsi="Arial Narrow"/>
          <w:b/>
          <w:sz w:val="24"/>
          <w:szCs w:val="24"/>
          <w:highlight w:val="green"/>
        </w:rPr>
        <w:t>.</w:t>
      </w:r>
      <w:r w:rsidR="001045D3" w:rsidRPr="00F82188">
        <w:rPr>
          <w:rFonts w:ascii="Arial Narrow" w:eastAsia="Calibri" w:hAnsi="Arial Narrow"/>
          <w:b/>
          <w:sz w:val="24"/>
          <w:szCs w:val="24"/>
        </w:rPr>
        <w:t xml:space="preserve"> </w:t>
      </w:r>
    </w:p>
    <w:p w14:paraId="0DEDA19D" w14:textId="77777777" w:rsidR="00EB0F7C" w:rsidRPr="0091102D" w:rsidRDefault="0029510C" w:rsidP="00F82188">
      <w:pPr>
        <w:pStyle w:val="Paragraphedeliste"/>
        <w:numPr>
          <w:ilvl w:val="0"/>
          <w:numId w:val="7"/>
        </w:numPr>
        <w:jc w:val="both"/>
        <w:rPr>
          <w:rFonts w:ascii="Arial Narrow" w:eastAsia="Calibri" w:hAnsi="Arial Narrow"/>
          <w:b/>
        </w:rPr>
      </w:pPr>
      <w:r w:rsidRPr="00F82188">
        <w:rPr>
          <w:rFonts w:ascii="Arial Narrow" w:eastAsia="Calibri" w:hAnsi="Arial Narrow"/>
          <w:b/>
        </w:rPr>
        <w:t>Activité</w:t>
      </w:r>
      <w:r w:rsidR="00A06269" w:rsidRPr="00F82188">
        <w:rPr>
          <w:rFonts w:ascii="Arial Narrow" w:eastAsia="Calibri" w:hAnsi="Arial Narrow"/>
          <w:b/>
        </w:rPr>
        <w:t xml:space="preserve"> phare</w:t>
      </w:r>
      <w:r w:rsidRPr="00F82188">
        <w:rPr>
          <w:rFonts w:ascii="Arial Narrow" w:eastAsia="Calibri" w:hAnsi="Arial Narrow"/>
          <w:b/>
        </w:rPr>
        <w:t xml:space="preserve">: </w:t>
      </w:r>
      <w:r w:rsidR="00F412A1" w:rsidRPr="005142C0">
        <w:rPr>
          <w:rFonts w:ascii="Arial Narrow" w:eastAsia="Calibri" w:hAnsi="Arial Narrow"/>
          <w:b/>
          <w:highlight w:val="green"/>
        </w:rPr>
        <w:t>Appuyer l’organisation de la revue du CREDD et des ODD (Lancement du processus des revues, validation du Cadre de Mesure de performance</w:t>
      </w:r>
      <w:r w:rsidR="00F82188" w:rsidRPr="005142C0">
        <w:rPr>
          <w:rFonts w:ascii="Arial Narrow" w:eastAsia="Calibri" w:hAnsi="Arial Narrow"/>
          <w:b/>
          <w:highlight w:val="green"/>
        </w:rPr>
        <w:t>s</w:t>
      </w:r>
      <w:r w:rsidR="00F412A1" w:rsidRPr="005142C0">
        <w:rPr>
          <w:rFonts w:ascii="Arial Narrow" w:eastAsia="Calibri" w:hAnsi="Arial Narrow"/>
          <w:b/>
          <w:highlight w:val="green"/>
        </w:rPr>
        <w:t xml:space="preserve"> et du Cadre de résultats, appui aux revues sectorielles)</w:t>
      </w:r>
      <w:r w:rsidR="00F82188" w:rsidRPr="005142C0">
        <w:rPr>
          <w:rFonts w:ascii="Arial Narrow" w:eastAsia="Calibri" w:hAnsi="Arial Narrow"/>
          <w:b/>
          <w:highlight w:val="green"/>
        </w:rPr>
        <w:t>.</w:t>
      </w:r>
    </w:p>
    <w:p w14:paraId="705DB6AF" w14:textId="77777777" w:rsidR="00176EA3" w:rsidRDefault="00176EA3" w:rsidP="00C77249">
      <w:pPr>
        <w:spacing w:after="0"/>
        <w:jc w:val="both"/>
        <w:rPr>
          <w:rFonts w:ascii="Arial Narrow" w:eastAsia="Calibri" w:hAnsi="Arial Narrow"/>
          <w:sz w:val="24"/>
          <w:szCs w:val="24"/>
        </w:rPr>
      </w:pPr>
    </w:p>
    <w:p w14:paraId="56364FAF" w14:textId="77777777" w:rsidR="00E11C8B" w:rsidRPr="00FD58AD" w:rsidRDefault="00E11C8B" w:rsidP="00FD58AD">
      <w:pPr>
        <w:pStyle w:val="Paragraphedeliste"/>
        <w:numPr>
          <w:ilvl w:val="0"/>
          <w:numId w:val="11"/>
        </w:numPr>
        <w:jc w:val="both"/>
        <w:rPr>
          <w:rFonts w:ascii="Arial Narrow" w:eastAsia="Calibri" w:hAnsi="Arial Narrow"/>
          <w:u w:val="single"/>
        </w:rPr>
      </w:pPr>
      <w:r w:rsidRPr="00FD58AD">
        <w:rPr>
          <w:rFonts w:ascii="Arial Narrow" w:eastAsia="Calibri" w:hAnsi="Arial Narrow"/>
          <w:b/>
          <w:u w:val="single"/>
        </w:rPr>
        <w:t>Lancement du processus des revues</w:t>
      </w:r>
    </w:p>
    <w:p w14:paraId="7C9BCD01" w14:textId="77777777" w:rsidR="00FD58AD" w:rsidRDefault="00FD58AD" w:rsidP="00C77249">
      <w:pPr>
        <w:spacing w:after="0"/>
        <w:jc w:val="both"/>
        <w:rPr>
          <w:rFonts w:ascii="Arial Narrow" w:eastAsia="Calibri" w:hAnsi="Arial Narrow"/>
          <w:sz w:val="24"/>
          <w:szCs w:val="24"/>
        </w:rPr>
      </w:pPr>
    </w:p>
    <w:p w14:paraId="001496CE" w14:textId="77777777" w:rsidR="00C77249" w:rsidRPr="00F82188" w:rsidRDefault="00C77249" w:rsidP="00C77249">
      <w:pPr>
        <w:spacing w:after="0"/>
        <w:jc w:val="both"/>
        <w:rPr>
          <w:rFonts w:ascii="Arial Narrow" w:eastAsia="Calibri" w:hAnsi="Arial Narrow"/>
          <w:sz w:val="24"/>
          <w:szCs w:val="24"/>
        </w:rPr>
      </w:pPr>
      <w:r w:rsidRPr="00F82188">
        <w:rPr>
          <w:rFonts w:ascii="Arial Narrow" w:eastAsia="Calibri" w:hAnsi="Arial Narrow"/>
          <w:sz w:val="24"/>
          <w:szCs w:val="24"/>
        </w:rPr>
        <w:t xml:space="preserve">Par la </w:t>
      </w:r>
      <w:r w:rsidR="001045D3" w:rsidRPr="00F82188">
        <w:rPr>
          <w:rFonts w:ascii="Arial Narrow" w:eastAsia="Calibri" w:hAnsi="Arial Narrow"/>
          <w:sz w:val="24"/>
          <w:szCs w:val="24"/>
        </w:rPr>
        <w:t>L</w:t>
      </w:r>
      <w:r w:rsidRPr="00F82188">
        <w:rPr>
          <w:rFonts w:ascii="Arial Narrow" w:eastAsia="Calibri" w:hAnsi="Arial Narrow"/>
          <w:sz w:val="24"/>
          <w:szCs w:val="24"/>
        </w:rPr>
        <w:t xml:space="preserve">ettre </w:t>
      </w:r>
      <w:r w:rsidR="001045D3" w:rsidRPr="00F82188">
        <w:rPr>
          <w:rFonts w:ascii="Arial Narrow" w:eastAsia="Calibri" w:hAnsi="Arial Narrow"/>
          <w:sz w:val="24"/>
          <w:szCs w:val="24"/>
        </w:rPr>
        <w:t>C</w:t>
      </w:r>
      <w:r w:rsidRPr="00F82188">
        <w:rPr>
          <w:rFonts w:ascii="Arial Narrow" w:eastAsia="Calibri" w:hAnsi="Arial Narrow"/>
          <w:sz w:val="24"/>
          <w:szCs w:val="24"/>
        </w:rPr>
        <w:t>irculaire N°00676/MEF-SG du 17 février 2020, le Ministre de l'Economie et des Finances a transmis le Calendrier harmonisé des revues aux membres du Gouvernement et aux Présidents de certaines Institutions.</w:t>
      </w:r>
    </w:p>
    <w:p w14:paraId="30E9FEA1" w14:textId="77777777" w:rsidR="00C77249" w:rsidRPr="00F82188" w:rsidRDefault="00C77249" w:rsidP="00C77249">
      <w:pPr>
        <w:spacing w:after="0"/>
        <w:jc w:val="both"/>
        <w:rPr>
          <w:rFonts w:ascii="Arial Narrow" w:eastAsia="Calibri" w:hAnsi="Arial Narrow"/>
          <w:sz w:val="24"/>
          <w:szCs w:val="24"/>
        </w:rPr>
      </w:pPr>
    </w:p>
    <w:p w14:paraId="1BDA3D42" w14:textId="77777777" w:rsidR="00C77249" w:rsidRPr="00F82188" w:rsidRDefault="00C77249" w:rsidP="00C77249">
      <w:pPr>
        <w:spacing w:after="0"/>
        <w:jc w:val="both"/>
        <w:rPr>
          <w:rFonts w:ascii="Arial Narrow" w:eastAsia="Calibri" w:hAnsi="Arial Narrow"/>
          <w:sz w:val="24"/>
          <w:szCs w:val="24"/>
        </w:rPr>
      </w:pPr>
      <w:r w:rsidRPr="00F82188">
        <w:rPr>
          <w:rFonts w:ascii="Arial Narrow" w:eastAsia="Calibri" w:hAnsi="Arial Narrow"/>
          <w:sz w:val="24"/>
          <w:szCs w:val="24"/>
        </w:rPr>
        <w:t>Ladite lettre est accompagnée de la Note d'orientation de l'organisation des revues qui précise les rôles et responsabilités de chaque acteur, les attentes pour les revues des projets-programmes, des budgets-programmes, des revues sectorielles et propose des outils, notamment le canevas standard des revues sectorielles, destiné à appuyer les CPS dans la tenue desdites revues.</w:t>
      </w:r>
    </w:p>
    <w:p w14:paraId="1E6CDB21" w14:textId="77777777" w:rsidR="00223469" w:rsidRPr="00F82188" w:rsidRDefault="00223469" w:rsidP="00C77249">
      <w:pPr>
        <w:spacing w:after="0"/>
        <w:jc w:val="both"/>
        <w:rPr>
          <w:rFonts w:ascii="Arial Narrow" w:eastAsia="Calibri" w:hAnsi="Arial Narrow"/>
          <w:sz w:val="24"/>
          <w:szCs w:val="24"/>
        </w:rPr>
      </w:pPr>
    </w:p>
    <w:p w14:paraId="511F45C6" w14:textId="77777777" w:rsidR="00223469" w:rsidRPr="00F82188" w:rsidRDefault="00223469" w:rsidP="00C77249">
      <w:pPr>
        <w:spacing w:after="0"/>
        <w:jc w:val="both"/>
        <w:rPr>
          <w:rFonts w:ascii="Arial Narrow" w:eastAsia="Calibri" w:hAnsi="Arial Narrow"/>
          <w:sz w:val="24"/>
          <w:szCs w:val="24"/>
        </w:rPr>
      </w:pPr>
      <w:r w:rsidRPr="00F82188">
        <w:rPr>
          <w:rFonts w:ascii="Arial Narrow" w:eastAsia="Calibri" w:hAnsi="Arial Narrow"/>
          <w:sz w:val="24"/>
          <w:szCs w:val="24"/>
        </w:rPr>
        <w:t xml:space="preserve">La lettre circulaire prévoyait, cette année, l’organisation d’un lancement officiel du processus des revues sous la présidence de Monsieur le Premier ministre, ministre de l’économie et des finances en présence des ministres responsables des secteurs, des points focaux CREDD des départements sectoriels et de l’ensemble des acteurs concernés. Cette activité, initialement prévue en fin mars 2020, </w:t>
      </w:r>
      <w:r w:rsidR="00AF149C">
        <w:rPr>
          <w:rFonts w:ascii="Arial Narrow" w:eastAsia="Calibri" w:hAnsi="Arial Narrow"/>
          <w:sz w:val="24"/>
          <w:szCs w:val="24"/>
        </w:rPr>
        <w:t>ne s’est pas tenue</w:t>
      </w:r>
      <w:r w:rsidRPr="00F82188">
        <w:rPr>
          <w:rFonts w:ascii="Arial Narrow" w:eastAsia="Calibri" w:hAnsi="Arial Narrow"/>
          <w:sz w:val="24"/>
          <w:szCs w:val="24"/>
        </w:rPr>
        <w:t xml:space="preserve"> en raison de la situation sanitaire liée à la pandémie de la Covid 19.</w:t>
      </w:r>
      <w:r w:rsidR="00092CD7" w:rsidRPr="00F82188">
        <w:rPr>
          <w:rFonts w:ascii="Arial Narrow" w:eastAsia="Calibri" w:hAnsi="Arial Narrow"/>
          <w:sz w:val="24"/>
          <w:szCs w:val="24"/>
        </w:rPr>
        <w:t xml:space="preserve"> </w:t>
      </w:r>
      <w:r w:rsidRPr="00F82188">
        <w:rPr>
          <w:rFonts w:ascii="Arial Narrow" w:eastAsia="Calibri" w:hAnsi="Arial Narrow"/>
          <w:sz w:val="24"/>
          <w:szCs w:val="24"/>
        </w:rPr>
        <w:t>Les TDR et la liste des participants ont été élaborés et sont disponibles.</w:t>
      </w:r>
    </w:p>
    <w:p w14:paraId="37C48D07" w14:textId="77777777" w:rsidR="001045D3" w:rsidRPr="00F82188" w:rsidRDefault="001045D3" w:rsidP="00C77249">
      <w:pPr>
        <w:spacing w:after="0"/>
        <w:jc w:val="both"/>
        <w:rPr>
          <w:rFonts w:ascii="Arial Narrow" w:eastAsia="Calibri" w:hAnsi="Arial Narrow"/>
          <w:sz w:val="24"/>
          <w:szCs w:val="24"/>
        </w:rPr>
      </w:pPr>
    </w:p>
    <w:p w14:paraId="0A63260E" w14:textId="77777777" w:rsidR="001045D3" w:rsidRPr="00F82188" w:rsidRDefault="001045D3" w:rsidP="001045D3">
      <w:pPr>
        <w:spacing w:after="0" w:line="240" w:lineRule="auto"/>
        <w:jc w:val="both"/>
        <w:rPr>
          <w:rFonts w:ascii="Arial Narrow" w:hAnsi="Arial Narrow"/>
          <w:sz w:val="24"/>
          <w:szCs w:val="24"/>
        </w:rPr>
      </w:pPr>
      <w:r w:rsidRPr="00F82188">
        <w:rPr>
          <w:rFonts w:ascii="Arial Narrow" w:hAnsi="Arial Narrow"/>
          <w:sz w:val="24"/>
          <w:szCs w:val="24"/>
        </w:rPr>
        <w:t xml:space="preserve">Le mécanisme de pilotage et de suivi évaluation de la mise en œuvre du CREDD est institué par le Décret n°2018-0623 /PM-RM du 08 août 2018. </w:t>
      </w:r>
      <w:r w:rsidRPr="00F82188">
        <w:rPr>
          <w:rFonts w:ascii="Arial Narrow" w:hAnsi="Arial Narrow"/>
          <w:kern w:val="24"/>
          <w:sz w:val="24"/>
          <w:szCs w:val="24"/>
        </w:rPr>
        <w:t>Ce dispositif repose sur une batterie d’indicateurs contenus dans le C</w:t>
      </w:r>
      <w:r w:rsidRPr="00F82188">
        <w:rPr>
          <w:rFonts w:ascii="Arial Narrow" w:hAnsi="Arial Narrow"/>
          <w:sz w:val="24"/>
          <w:szCs w:val="24"/>
        </w:rPr>
        <w:t>adre de Mesure des Performances (CMP) et dans le Cadre des Résultats (CR) du CREDD.</w:t>
      </w:r>
    </w:p>
    <w:p w14:paraId="18B798C4" w14:textId="77777777" w:rsidR="001045D3" w:rsidRPr="00F82188" w:rsidRDefault="001045D3" w:rsidP="001045D3">
      <w:pPr>
        <w:spacing w:after="0" w:line="240" w:lineRule="auto"/>
        <w:jc w:val="both"/>
        <w:rPr>
          <w:rFonts w:ascii="Arial Narrow" w:hAnsi="Arial Narrow"/>
          <w:sz w:val="24"/>
          <w:szCs w:val="24"/>
        </w:rPr>
      </w:pPr>
    </w:p>
    <w:p w14:paraId="566C5B16" w14:textId="77777777" w:rsidR="001045D3" w:rsidRPr="00F82188" w:rsidRDefault="001045D3" w:rsidP="001045D3">
      <w:pPr>
        <w:jc w:val="both"/>
        <w:rPr>
          <w:rFonts w:ascii="Arial Narrow" w:hAnsi="Arial Narrow"/>
          <w:sz w:val="24"/>
          <w:szCs w:val="24"/>
        </w:rPr>
      </w:pPr>
      <w:r w:rsidRPr="00F82188">
        <w:rPr>
          <w:rFonts w:ascii="Arial Narrow" w:hAnsi="Arial Narrow"/>
          <w:sz w:val="24"/>
          <w:szCs w:val="24"/>
        </w:rPr>
        <w:t>L’opérationnalisation de la mise en œuvre efficace et efficiente du CREDD 2019-2023 nécessite une implication de toutes les parties prenantes concernées par la mise en œuvre de l’action publique. Elle requiert également un changement dans la manière de délivrer les politiques publiques. Il faut davantage d’engagement, de rigueur et de transparence dans la mise en œuvre des actions.</w:t>
      </w:r>
    </w:p>
    <w:p w14:paraId="15EF4A90" w14:textId="77777777" w:rsidR="00C77249" w:rsidRPr="00F82188" w:rsidRDefault="00C77249" w:rsidP="00C77249">
      <w:pPr>
        <w:spacing w:after="0"/>
        <w:jc w:val="both"/>
        <w:rPr>
          <w:rFonts w:ascii="Arial Narrow" w:eastAsia="Calibri" w:hAnsi="Arial Narrow"/>
          <w:sz w:val="24"/>
          <w:szCs w:val="24"/>
        </w:rPr>
      </w:pPr>
    </w:p>
    <w:p w14:paraId="180C3B8D" w14:textId="77777777" w:rsidR="00E11C8B" w:rsidRPr="00FD58AD" w:rsidRDefault="00E11C8B" w:rsidP="00FD58AD">
      <w:pPr>
        <w:pStyle w:val="Paragraphedeliste"/>
        <w:numPr>
          <w:ilvl w:val="0"/>
          <w:numId w:val="11"/>
        </w:numPr>
        <w:rPr>
          <w:rFonts w:ascii="Arial Narrow" w:hAnsi="Arial Narrow"/>
          <w:u w:val="single"/>
        </w:rPr>
      </w:pPr>
      <w:r w:rsidRPr="00FD58AD">
        <w:rPr>
          <w:rFonts w:ascii="Arial Narrow" w:eastAsia="Calibri" w:hAnsi="Arial Narrow"/>
          <w:b/>
          <w:u w:val="single"/>
        </w:rPr>
        <w:t>Validation du Cadre de Mesure de performance et du Cadre de résultats</w:t>
      </w:r>
    </w:p>
    <w:p w14:paraId="28553D68" w14:textId="77777777" w:rsidR="00FD58AD" w:rsidRDefault="00FD58AD" w:rsidP="00E11C8B">
      <w:pPr>
        <w:spacing w:after="0" w:line="240" w:lineRule="auto"/>
        <w:jc w:val="both"/>
        <w:rPr>
          <w:rFonts w:ascii="Arial Narrow" w:hAnsi="Arial Narrow"/>
        </w:rPr>
      </w:pPr>
    </w:p>
    <w:p w14:paraId="6921868F" w14:textId="77777777" w:rsidR="001045D3" w:rsidRDefault="001045D3" w:rsidP="00E11C8B">
      <w:pPr>
        <w:jc w:val="both"/>
        <w:rPr>
          <w:rFonts w:ascii="Arial Narrow" w:hAnsi="Arial Narrow"/>
          <w:sz w:val="24"/>
          <w:szCs w:val="24"/>
        </w:rPr>
      </w:pPr>
      <w:r>
        <w:rPr>
          <w:rFonts w:ascii="Arial Narrow" w:hAnsi="Arial Narrow"/>
          <w:bCs/>
          <w:sz w:val="24"/>
          <w:szCs w:val="24"/>
        </w:rPr>
        <w:t>Après l’adoption du CREDD</w:t>
      </w:r>
      <w:r w:rsidR="00D53EFE">
        <w:rPr>
          <w:rFonts w:ascii="Arial Narrow" w:hAnsi="Arial Narrow"/>
          <w:bCs/>
          <w:sz w:val="24"/>
          <w:szCs w:val="24"/>
        </w:rPr>
        <w:t xml:space="preserve"> 2019-2023 par le Gouvernement, </w:t>
      </w:r>
      <w:r w:rsidR="00D53EFE" w:rsidRPr="001334CF">
        <w:rPr>
          <w:rFonts w:ascii="Arial Narrow" w:hAnsi="Arial Narrow"/>
          <w:sz w:val="24"/>
          <w:szCs w:val="24"/>
        </w:rPr>
        <w:t xml:space="preserve">la Cellule Technique </w:t>
      </w:r>
      <w:r w:rsidR="00D53EFE">
        <w:rPr>
          <w:rFonts w:ascii="Arial Narrow" w:hAnsi="Arial Narrow"/>
          <w:sz w:val="24"/>
          <w:szCs w:val="24"/>
        </w:rPr>
        <w:t>CSLP a poursuivi les efforts visant à consolider le Cadre de mesure de performances (CMP) et le Cadre de résultats (CR) du CREDD 2019-2023</w:t>
      </w:r>
      <w:r w:rsidR="004B1598">
        <w:rPr>
          <w:rFonts w:ascii="Arial Narrow" w:hAnsi="Arial Narrow"/>
          <w:sz w:val="24"/>
          <w:szCs w:val="24"/>
        </w:rPr>
        <w:t xml:space="preserve"> en lien avec les cibles et in</w:t>
      </w:r>
      <w:r w:rsidR="00AF149C">
        <w:rPr>
          <w:rFonts w:ascii="Arial Narrow" w:hAnsi="Arial Narrow"/>
          <w:sz w:val="24"/>
          <w:szCs w:val="24"/>
        </w:rPr>
        <w:t>dicateurs des ODD.</w:t>
      </w:r>
    </w:p>
    <w:p w14:paraId="46341C9A" w14:textId="77777777" w:rsidR="00D53EFE" w:rsidRPr="00D53EFE" w:rsidRDefault="00D53EFE" w:rsidP="00E11C8B">
      <w:pPr>
        <w:jc w:val="both"/>
        <w:rPr>
          <w:rFonts w:ascii="Arial Narrow" w:hAnsi="Arial Narrow"/>
          <w:sz w:val="24"/>
          <w:szCs w:val="24"/>
        </w:rPr>
      </w:pPr>
      <w:r>
        <w:rPr>
          <w:rFonts w:ascii="Arial Narrow" w:hAnsi="Arial Narrow"/>
          <w:sz w:val="24"/>
          <w:szCs w:val="24"/>
        </w:rPr>
        <w:t xml:space="preserve">Faisant suite aux conclusions des échanges du 02 septembre 2019 </w:t>
      </w:r>
      <w:r w:rsidRPr="008F2A63">
        <w:rPr>
          <w:rFonts w:ascii="Arial Narrow" w:hAnsi="Arial Narrow"/>
          <w:sz w:val="24"/>
          <w:szCs w:val="24"/>
        </w:rPr>
        <w:t>à la Maison des Nations Unies, avec les Chefs d’Agences au Mali et  la rencontre du 04 septembre 2019 avec le PAM, la Cellule Technique du Cadre Stratégique de Lutte Contre la Pauvreté (CT-CSLP)</w:t>
      </w:r>
      <w:r>
        <w:rPr>
          <w:rFonts w:ascii="Arial Narrow" w:hAnsi="Arial Narrow"/>
          <w:sz w:val="24"/>
          <w:szCs w:val="24"/>
        </w:rPr>
        <w:t>,</w:t>
      </w:r>
      <w:r w:rsidRPr="008F2A63">
        <w:rPr>
          <w:rFonts w:ascii="Arial Narrow" w:hAnsi="Arial Narrow"/>
          <w:sz w:val="24"/>
          <w:szCs w:val="24"/>
        </w:rPr>
        <w:t xml:space="preserve"> en partenariat avec la Coordination des Activités Opérationnelles du Système des Nations Unies au Mali, a envisagé l’organisation d’un atelier </w:t>
      </w:r>
      <w:r>
        <w:rPr>
          <w:rFonts w:ascii="Arial Narrow" w:hAnsi="Arial Narrow"/>
          <w:sz w:val="24"/>
          <w:szCs w:val="24"/>
        </w:rPr>
        <w:t>en mars 2020.</w:t>
      </w:r>
    </w:p>
    <w:p w14:paraId="583A1510" w14:textId="77777777" w:rsidR="00E11C8B" w:rsidRPr="008F2A63" w:rsidRDefault="00E11C8B" w:rsidP="00E11C8B">
      <w:pPr>
        <w:jc w:val="both"/>
        <w:rPr>
          <w:rFonts w:ascii="Arial Narrow" w:hAnsi="Arial Narrow"/>
          <w:bCs/>
          <w:sz w:val="24"/>
          <w:szCs w:val="24"/>
        </w:rPr>
      </w:pPr>
      <w:r w:rsidRPr="008F2A63">
        <w:rPr>
          <w:rFonts w:ascii="Arial Narrow" w:hAnsi="Arial Narrow"/>
          <w:bCs/>
          <w:sz w:val="24"/>
          <w:szCs w:val="24"/>
        </w:rPr>
        <w:t>L’objectif général de cet atelier était de valider les indicateurs du CMP et du CR et retenir une liste consensuelle d’indicateurs pertinents permettant de suivre et d’évaluer le CREDD 2019-2023 et les ODD.</w:t>
      </w:r>
    </w:p>
    <w:p w14:paraId="4746EDD7" w14:textId="77777777" w:rsidR="00E11C8B" w:rsidRPr="008F2A63" w:rsidRDefault="00E11C8B" w:rsidP="00E11C8B">
      <w:pPr>
        <w:jc w:val="both"/>
        <w:rPr>
          <w:rFonts w:ascii="Arial Narrow" w:hAnsi="Arial Narrow"/>
          <w:bCs/>
          <w:sz w:val="24"/>
          <w:szCs w:val="24"/>
        </w:rPr>
      </w:pPr>
      <w:r w:rsidRPr="008F2A63">
        <w:rPr>
          <w:rFonts w:ascii="Arial Narrow" w:hAnsi="Arial Narrow"/>
          <w:bCs/>
          <w:sz w:val="24"/>
          <w:szCs w:val="24"/>
        </w:rPr>
        <w:t>Les objectifs spécifiques étaient :</w:t>
      </w:r>
    </w:p>
    <w:p w14:paraId="071F2195" w14:textId="77777777" w:rsidR="00E11C8B" w:rsidRPr="00C22EE0" w:rsidRDefault="00E11C8B" w:rsidP="00E11C8B">
      <w:pPr>
        <w:pStyle w:val="Paragraphedeliste"/>
        <w:numPr>
          <w:ilvl w:val="0"/>
          <w:numId w:val="10"/>
        </w:numPr>
        <w:suppressAutoHyphens w:val="0"/>
        <w:jc w:val="both"/>
        <w:rPr>
          <w:rFonts w:ascii="Arial Narrow" w:hAnsi="Arial Narrow"/>
          <w:bCs/>
        </w:rPr>
      </w:pPr>
      <w:r w:rsidRPr="00C22EE0">
        <w:rPr>
          <w:rFonts w:ascii="Arial Narrow" w:hAnsi="Arial Narrow"/>
          <w:bCs/>
        </w:rPr>
        <w:t>examiner les lignes d’actions du CR, vérifier leur cohérence avec les objectifs du CREDD 2019-2023 et les valider ;</w:t>
      </w:r>
    </w:p>
    <w:p w14:paraId="505807C0" w14:textId="77777777" w:rsidR="00E11C8B" w:rsidRPr="00C22EE0" w:rsidRDefault="00E11C8B" w:rsidP="00E11C8B">
      <w:pPr>
        <w:pStyle w:val="Paragraphedeliste"/>
        <w:numPr>
          <w:ilvl w:val="0"/>
          <w:numId w:val="10"/>
        </w:numPr>
        <w:suppressAutoHyphens w:val="0"/>
        <w:jc w:val="both"/>
        <w:rPr>
          <w:rFonts w:ascii="Arial Narrow" w:hAnsi="Arial Narrow"/>
          <w:bCs/>
        </w:rPr>
      </w:pPr>
      <w:r w:rsidRPr="00C22EE0">
        <w:rPr>
          <w:rFonts w:ascii="Arial Narrow" w:hAnsi="Arial Narrow"/>
          <w:bCs/>
        </w:rPr>
        <w:t>examiner les indicateurs du CMP et du CR en lien avec les ODD ;</w:t>
      </w:r>
    </w:p>
    <w:p w14:paraId="5C2E3A8C" w14:textId="77777777" w:rsidR="00E11C8B" w:rsidRPr="00C22EE0" w:rsidRDefault="00E11C8B" w:rsidP="00E11C8B">
      <w:pPr>
        <w:pStyle w:val="Paragraphedeliste"/>
        <w:numPr>
          <w:ilvl w:val="0"/>
          <w:numId w:val="10"/>
        </w:numPr>
        <w:suppressAutoHyphens w:val="0"/>
        <w:jc w:val="both"/>
        <w:rPr>
          <w:rFonts w:ascii="Arial Narrow" w:hAnsi="Arial Narrow"/>
          <w:bCs/>
        </w:rPr>
      </w:pPr>
      <w:r w:rsidRPr="00C22EE0">
        <w:rPr>
          <w:rFonts w:ascii="Arial Narrow" w:hAnsi="Arial Narrow"/>
          <w:bCs/>
        </w:rPr>
        <w:t>retenir une liste consensuelle d’indicateurs  permettant de suivre et évaluer le CREDD et les ODD en indiquant la méthodologie de calcul, la structure responsable, la source de vérification, la périodicité, la valeur de référence, les valeurs cibles pour 2019, 2020, 2021, 2022 et 2023.</w:t>
      </w:r>
    </w:p>
    <w:p w14:paraId="7488F8FA" w14:textId="77777777" w:rsidR="00E11C8B" w:rsidRPr="00C22EE0" w:rsidRDefault="00E11C8B" w:rsidP="00E11C8B">
      <w:pPr>
        <w:spacing w:after="0" w:line="240" w:lineRule="auto"/>
        <w:jc w:val="both"/>
        <w:rPr>
          <w:rFonts w:ascii="Arial Narrow" w:eastAsia="Calibri" w:hAnsi="Arial Narrow"/>
          <w:color w:val="000000"/>
        </w:rPr>
      </w:pPr>
    </w:p>
    <w:p w14:paraId="45C49325" w14:textId="77777777" w:rsidR="00223469" w:rsidRDefault="00223469" w:rsidP="00E11C8B">
      <w:pPr>
        <w:rPr>
          <w:rFonts w:ascii="Arial Narrow" w:eastAsia="Calibri" w:hAnsi="Arial Narrow"/>
          <w:b/>
          <w:color w:val="000000"/>
        </w:rPr>
      </w:pPr>
      <w:r w:rsidRPr="008F2A63">
        <w:rPr>
          <w:rFonts w:ascii="Arial Narrow" w:eastAsia="Calibri" w:hAnsi="Arial Narrow"/>
          <w:sz w:val="24"/>
          <w:szCs w:val="24"/>
        </w:rPr>
        <w:t>Les TDR et la liste des participants ont été élaborés et sont disponibles.</w:t>
      </w:r>
    </w:p>
    <w:p w14:paraId="214DC3E4" w14:textId="77777777" w:rsidR="00E11C8B" w:rsidRDefault="00E11C8B" w:rsidP="00E11C8B">
      <w:pPr>
        <w:rPr>
          <w:rFonts w:ascii="Arial Narrow" w:eastAsia="Calibri" w:hAnsi="Arial Narrow"/>
          <w:color w:val="000000"/>
        </w:rPr>
      </w:pPr>
      <w:r w:rsidRPr="005142C0">
        <w:rPr>
          <w:rFonts w:ascii="Arial Narrow" w:eastAsia="Calibri" w:hAnsi="Arial Narrow"/>
          <w:b/>
          <w:color w:val="000000"/>
          <w:sz w:val="24"/>
          <w:szCs w:val="24"/>
          <w:highlight w:val="green"/>
        </w:rPr>
        <w:t>Cependant, en raison du contexte de la COVID 19, l’atelier n’a pas pu être réalisé</w:t>
      </w:r>
      <w:r w:rsidRPr="00C22EE0">
        <w:rPr>
          <w:rFonts w:ascii="Arial Narrow" w:eastAsia="Calibri" w:hAnsi="Arial Narrow"/>
          <w:color w:val="000000"/>
        </w:rPr>
        <w:t>.</w:t>
      </w:r>
    </w:p>
    <w:p w14:paraId="3F60C650" w14:textId="77777777" w:rsidR="00E11C8B" w:rsidRPr="00FD58AD" w:rsidRDefault="00E11C8B" w:rsidP="00AF149C">
      <w:pPr>
        <w:pStyle w:val="Paragraphedeliste"/>
        <w:numPr>
          <w:ilvl w:val="0"/>
          <w:numId w:val="11"/>
        </w:numPr>
        <w:spacing w:before="240"/>
        <w:rPr>
          <w:rFonts w:ascii="Arial Narrow" w:hAnsi="Arial Narrow"/>
          <w:u w:val="single"/>
        </w:rPr>
      </w:pPr>
      <w:r w:rsidRPr="00FD58AD">
        <w:rPr>
          <w:rFonts w:ascii="Arial Narrow" w:eastAsia="Calibri" w:hAnsi="Arial Narrow"/>
          <w:b/>
          <w:u w:val="single"/>
        </w:rPr>
        <w:t>Appui aux revues sectorielles</w:t>
      </w:r>
    </w:p>
    <w:p w14:paraId="7EA4C5A6" w14:textId="77777777" w:rsidR="00AF149C" w:rsidRDefault="00AF149C" w:rsidP="00F82188">
      <w:pPr>
        <w:rPr>
          <w:rFonts w:ascii="Arial Narrow" w:hAnsi="Arial Narrow"/>
          <w:sz w:val="24"/>
          <w:szCs w:val="24"/>
        </w:rPr>
      </w:pPr>
    </w:p>
    <w:p w14:paraId="123F624D" w14:textId="77777777" w:rsidR="00C77249" w:rsidRPr="00A46FDD" w:rsidRDefault="00C77249" w:rsidP="00DD23B9">
      <w:pPr>
        <w:jc w:val="both"/>
        <w:rPr>
          <w:rFonts w:ascii="Arial Narrow" w:hAnsi="Arial Narrow"/>
          <w:sz w:val="24"/>
          <w:szCs w:val="24"/>
        </w:rPr>
      </w:pPr>
      <w:r w:rsidRPr="00A46FDD">
        <w:rPr>
          <w:rFonts w:ascii="Arial Narrow" w:hAnsi="Arial Narrow"/>
          <w:sz w:val="24"/>
          <w:szCs w:val="24"/>
        </w:rPr>
        <w:t xml:space="preserve">En 2020, le processus d’organisation et de tenue des revues du Calendrier harmonisé des revues a </w:t>
      </w:r>
      <w:r>
        <w:rPr>
          <w:rFonts w:ascii="Arial Narrow" w:hAnsi="Arial Narrow"/>
          <w:sz w:val="24"/>
          <w:szCs w:val="24"/>
        </w:rPr>
        <w:t xml:space="preserve">été </w:t>
      </w:r>
      <w:r w:rsidRPr="00A46FDD">
        <w:rPr>
          <w:rFonts w:ascii="Arial Narrow" w:hAnsi="Arial Narrow"/>
          <w:sz w:val="24"/>
          <w:szCs w:val="24"/>
        </w:rPr>
        <w:t>fortement perturbé pour des raisons liées au respect des mesures prises par les autorités contre la propagation d</w:t>
      </w:r>
      <w:r w:rsidR="004B1598">
        <w:rPr>
          <w:rFonts w:ascii="Arial Narrow" w:hAnsi="Arial Narrow"/>
          <w:sz w:val="24"/>
          <w:szCs w:val="24"/>
        </w:rPr>
        <w:t>e la</w:t>
      </w:r>
      <w:r w:rsidRPr="00A46FDD">
        <w:rPr>
          <w:rFonts w:ascii="Arial Narrow" w:hAnsi="Arial Narrow"/>
          <w:sz w:val="24"/>
          <w:szCs w:val="24"/>
        </w:rPr>
        <w:t xml:space="preserve"> COVID-19</w:t>
      </w:r>
      <w:r w:rsidR="00D53EFE">
        <w:rPr>
          <w:rFonts w:ascii="Arial Narrow" w:hAnsi="Arial Narrow"/>
          <w:sz w:val="24"/>
          <w:szCs w:val="24"/>
        </w:rPr>
        <w:t>.</w:t>
      </w:r>
      <w:r w:rsidRPr="00A46FDD">
        <w:rPr>
          <w:rFonts w:ascii="Arial Narrow" w:hAnsi="Arial Narrow"/>
          <w:sz w:val="24"/>
          <w:szCs w:val="24"/>
        </w:rPr>
        <w:t xml:space="preserve"> </w:t>
      </w:r>
      <w:r w:rsidR="00D53EFE">
        <w:rPr>
          <w:rFonts w:ascii="Arial Narrow" w:hAnsi="Arial Narrow"/>
          <w:sz w:val="24"/>
          <w:szCs w:val="24"/>
        </w:rPr>
        <w:t xml:space="preserve"> </w:t>
      </w:r>
    </w:p>
    <w:p w14:paraId="24AAD427" w14:textId="77777777" w:rsidR="00C77249" w:rsidRPr="00A46FDD" w:rsidRDefault="00C77249" w:rsidP="00C77249">
      <w:pPr>
        <w:spacing w:after="0"/>
        <w:jc w:val="both"/>
        <w:rPr>
          <w:rFonts w:ascii="Arial Narrow" w:eastAsia="Calibri" w:hAnsi="Arial Narrow"/>
          <w:sz w:val="24"/>
          <w:szCs w:val="24"/>
        </w:rPr>
      </w:pPr>
      <w:r w:rsidRPr="00A46FDD">
        <w:rPr>
          <w:rFonts w:ascii="Arial Narrow" w:eastAsia="Calibri" w:hAnsi="Arial Narrow"/>
          <w:sz w:val="24"/>
          <w:szCs w:val="24"/>
        </w:rPr>
        <w:t xml:space="preserve">Aussi, il </w:t>
      </w:r>
      <w:r>
        <w:rPr>
          <w:rFonts w:ascii="Arial Narrow" w:eastAsia="Calibri" w:hAnsi="Arial Narrow"/>
          <w:sz w:val="24"/>
          <w:szCs w:val="24"/>
        </w:rPr>
        <w:t>s’est avéré nécessaire</w:t>
      </w:r>
      <w:r w:rsidRPr="00A46FDD">
        <w:rPr>
          <w:rFonts w:ascii="Arial Narrow" w:eastAsia="Calibri" w:hAnsi="Arial Narrow"/>
          <w:sz w:val="24"/>
          <w:szCs w:val="24"/>
        </w:rPr>
        <w:t xml:space="preserve"> d’envisager d’autres méthodes et moyens d’organisation et de travail permettant de réalise</w:t>
      </w:r>
      <w:r w:rsidR="00176EA3">
        <w:rPr>
          <w:rFonts w:ascii="Arial Narrow" w:eastAsia="Calibri" w:hAnsi="Arial Narrow"/>
          <w:sz w:val="24"/>
          <w:szCs w:val="24"/>
        </w:rPr>
        <w:t xml:space="preserve">r les revues dans le contexte de la </w:t>
      </w:r>
      <w:r w:rsidRPr="00A46FDD">
        <w:rPr>
          <w:rFonts w:ascii="Arial Narrow" w:eastAsia="Calibri" w:hAnsi="Arial Narrow"/>
          <w:sz w:val="24"/>
          <w:szCs w:val="24"/>
        </w:rPr>
        <w:t>COVID 19. C’est ainsi que p</w:t>
      </w:r>
      <w:r w:rsidRPr="00A46FDD">
        <w:rPr>
          <w:rFonts w:ascii="Arial Narrow" w:hAnsi="Arial Narrow" w:cs="Arial Narrow"/>
          <w:sz w:val="24"/>
          <w:szCs w:val="24"/>
        </w:rPr>
        <w:t>lusieurs a</w:t>
      </w:r>
      <w:r>
        <w:rPr>
          <w:rFonts w:ascii="Arial Narrow" w:hAnsi="Arial Narrow" w:cs="Arial Narrow"/>
          <w:sz w:val="24"/>
          <w:szCs w:val="24"/>
        </w:rPr>
        <w:t xml:space="preserve">ctivités ont été réalisées pour </w:t>
      </w:r>
      <w:r w:rsidRPr="00A46FDD">
        <w:rPr>
          <w:rFonts w:ascii="Arial Narrow" w:hAnsi="Arial Narrow" w:cs="Arial Narrow"/>
          <w:sz w:val="24"/>
          <w:szCs w:val="24"/>
        </w:rPr>
        <w:t>amener  les sectoriels à respecter les dates et pour améliorer l</w:t>
      </w:r>
      <w:r>
        <w:rPr>
          <w:rFonts w:ascii="Arial Narrow" w:hAnsi="Arial Narrow" w:cs="Arial Narrow"/>
          <w:sz w:val="24"/>
          <w:szCs w:val="24"/>
        </w:rPr>
        <w:t>a qualité des revues</w:t>
      </w:r>
      <w:r w:rsidRPr="00A46FDD">
        <w:rPr>
          <w:rFonts w:ascii="Arial Narrow" w:hAnsi="Arial Narrow" w:cs="Arial Narrow"/>
          <w:sz w:val="24"/>
          <w:szCs w:val="24"/>
        </w:rPr>
        <w:t>:</w:t>
      </w:r>
    </w:p>
    <w:p w14:paraId="4899AE24" w14:textId="77777777" w:rsidR="00C77249" w:rsidRPr="00A46FDD" w:rsidRDefault="00C77249" w:rsidP="00C77249">
      <w:pPr>
        <w:spacing w:after="0"/>
        <w:jc w:val="both"/>
        <w:rPr>
          <w:rFonts w:ascii="Arial Narrow" w:eastAsia="Calibri" w:hAnsi="Arial Narrow"/>
          <w:sz w:val="24"/>
          <w:szCs w:val="24"/>
        </w:rPr>
      </w:pPr>
    </w:p>
    <w:p w14:paraId="4ABA69FA" w14:textId="77777777" w:rsidR="00C77249" w:rsidRPr="00A46FDD" w:rsidRDefault="00C77249" w:rsidP="00C77249">
      <w:pPr>
        <w:pStyle w:val="Paragraphedeliste"/>
        <w:numPr>
          <w:ilvl w:val="0"/>
          <w:numId w:val="2"/>
        </w:numPr>
        <w:spacing w:after="240" w:line="276" w:lineRule="auto"/>
        <w:jc w:val="both"/>
        <w:rPr>
          <w:rFonts w:ascii="Arial Narrow" w:eastAsia="Calibri" w:hAnsi="Arial Narrow"/>
        </w:rPr>
      </w:pPr>
      <w:r w:rsidRPr="00A46FDD">
        <w:rPr>
          <w:rFonts w:ascii="Arial Narrow" w:eastAsia="Calibri" w:hAnsi="Arial Narrow"/>
        </w:rPr>
        <w:t>Elaboration par la CT-CSLP d</w:t>
      </w:r>
      <w:r>
        <w:rPr>
          <w:rFonts w:ascii="Arial Narrow" w:eastAsia="Calibri" w:hAnsi="Arial Narrow"/>
        </w:rPr>
        <w:t xml:space="preserve">’un </w:t>
      </w:r>
      <w:r w:rsidRPr="00A46FDD">
        <w:rPr>
          <w:rFonts w:ascii="Arial Narrow" w:eastAsia="Calibri" w:hAnsi="Arial Narrow"/>
        </w:rPr>
        <w:t xml:space="preserve">chronogramme d’organisation et de tenue </w:t>
      </w:r>
      <w:r w:rsidRPr="00A46FDD">
        <w:rPr>
          <w:rFonts w:ascii="Arial Narrow" w:eastAsia="Calibri" w:hAnsi="Arial Narrow"/>
          <w:b/>
        </w:rPr>
        <w:t>en mode télétravail</w:t>
      </w:r>
      <w:r w:rsidRPr="00A46FDD">
        <w:rPr>
          <w:rFonts w:ascii="Arial Narrow" w:eastAsia="Calibri" w:hAnsi="Arial Narrow"/>
        </w:rPr>
        <w:t xml:space="preserve"> des revues sous la supervision du Coordonnateur de la CT-CSLP, des Présidents des quatre (04) groupes thématiques du CREDD (2019-2023) et des onze (11) Cellules de planification et de statistique (CPS).</w:t>
      </w:r>
    </w:p>
    <w:p w14:paraId="6C807FEC" w14:textId="77777777" w:rsidR="00C77249" w:rsidRPr="00A46FDD" w:rsidRDefault="00C77249" w:rsidP="00C77249">
      <w:pPr>
        <w:pStyle w:val="Paragraphedeliste"/>
        <w:spacing w:after="240" w:line="276" w:lineRule="auto"/>
        <w:jc w:val="both"/>
        <w:rPr>
          <w:rFonts w:ascii="Arial Narrow" w:eastAsia="Calibri" w:hAnsi="Arial Narrow"/>
        </w:rPr>
      </w:pPr>
    </w:p>
    <w:p w14:paraId="18B8745A" w14:textId="77777777" w:rsidR="00C77249" w:rsidRDefault="00C77249" w:rsidP="00C77249">
      <w:pPr>
        <w:pStyle w:val="Paragraphedeliste"/>
        <w:numPr>
          <w:ilvl w:val="0"/>
          <w:numId w:val="2"/>
        </w:numPr>
        <w:spacing w:after="240" w:line="276" w:lineRule="auto"/>
        <w:jc w:val="both"/>
        <w:rPr>
          <w:rFonts w:ascii="Arial Narrow" w:hAnsi="Arial Narrow"/>
        </w:rPr>
      </w:pPr>
      <w:r w:rsidRPr="00A46FDD">
        <w:rPr>
          <w:rFonts w:ascii="Arial Narrow" w:hAnsi="Arial Narrow"/>
        </w:rPr>
        <w:t xml:space="preserve">Elaboration d’une </w:t>
      </w:r>
      <w:r w:rsidR="00D53EFE">
        <w:rPr>
          <w:rFonts w:ascii="Arial Narrow" w:hAnsi="Arial Narrow"/>
        </w:rPr>
        <w:t>N</w:t>
      </w:r>
      <w:r w:rsidRPr="00A46FDD">
        <w:rPr>
          <w:rFonts w:ascii="Arial Narrow" w:hAnsi="Arial Narrow"/>
        </w:rPr>
        <w:t>ote additive à la note d’orientation pour l’organisation et la tenue des revues qui donne des directives visant à améliorer la qualité de la participation des acteurs et le traitement de la question des résultats de développement.</w:t>
      </w:r>
    </w:p>
    <w:p w14:paraId="77545EA8" w14:textId="77777777" w:rsidR="00C77249" w:rsidRPr="00C77249" w:rsidRDefault="00C77249" w:rsidP="00C77249">
      <w:pPr>
        <w:pStyle w:val="Paragraphedeliste"/>
        <w:rPr>
          <w:rFonts w:ascii="Arial Narrow" w:hAnsi="Arial Narrow"/>
        </w:rPr>
      </w:pPr>
    </w:p>
    <w:p w14:paraId="7AC05B8C" w14:textId="77777777" w:rsidR="00C77249" w:rsidRPr="002A3C42" w:rsidRDefault="00C77249" w:rsidP="00C77249">
      <w:pPr>
        <w:pStyle w:val="Paragraphedeliste"/>
        <w:numPr>
          <w:ilvl w:val="0"/>
          <w:numId w:val="2"/>
        </w:numPr>
        <w:spacing w:after="240" w:line="276" w:lineRule="auto"/>
        <w:jc w:val="both"/>
        <w:rPr>
          <w:rFonts w:ascii="Arial Narrow" w:hAnsi="Arial Narrow"/>
        </w:rPr>
      </w:pPr>
      <w:r w:rsidRPr="00C77249">
        <w:rPr>
          <w:rFonts w:ascii="Arial Narrow" w:eastAsiaTheme="minorHAnsi" w:hAnsi="Arial Narrow"/>
        </w:rPr>
        <w:t>Tenue d’une réunion sur l’é</w:t>
      </w:r>
      <w:r w:rsidRPr="00C77249">
        <w:rPr>
          <w:rFonts w:ascii="Arial Narrow" w:hAnsi="Arial Narrow"/>
          <w:iCs/>
        </w:rPr>
        <w:t>tat d’avancement de l’organisation et de la tenue des revues sectorielles et le calendrier pour la revue 2019 du CREDD et des ODD</w:t>
      </w:r>
      <w:r w:rsidRPr="00C77249">
        <w:rPr>
          <w:rFonts w:ascii="Arial Narrow" w:eastAsiaTheme="minorHAnsi" w:hAnsi="Arial Narrow"/>
        </w:rPr>
        <w:t xml:space="preserve"> à la CT-CSLP,  le </w:t>
      </w:r>
      <w:r w:rsidRPr="00C77249">
        <w:rPr>
          <w:rFonts w:ascii="Arial Narrow" w:hAnsi="Arial Narrow"/>
        </w:rPr>
        <w:t>jeudi 04 juin 2020</w:t>
      </w:r>
      <w:r w:rsidR="00302A5A">
        <w:rPr>
          <w:rFonts w:ascii="Arial Narrow" w:hAnsi="Arial Narrow"/>
        </w:rPr>
        <w:t>,</w:t>
      </w:r>
      <w:r w:rsidRPr="00C77249">
        <w:rPr>
          <w:rFonts w:ascii="Arial Narrow" w:hAnsi="Arial Narrow"/>
        </w:rPr>
        <w:t xml:space="preserve"> avec les </w:t>
      </w:r>
      <w:r w:rsidRPr="00C77249">
        <w:rPr>
          <w:rFonts w:ascii="Arial Narrow" w:eastAsia="Calibri" w:hAnsi="Arial Narrow"/>
        </w:rPr>
        <w:t xml:space="preserve">Présidents des quatre (04) groupes thématiques du CREDD 2019-2023, les représentants de certaines structures centrales du Ministère de l’Economie et des Finances (SHA, DNPD, DGB, CARFIP), de l’INSTAT et des onze (11) Cellules de planification et de statistique (CPS) . </w:t>
      </w:r>
      <w:r w:rsidRPr="00C77249">
        <w:rPr>
          <w:rFonts w:ascii="Arial Narrow" w:hAnsi="Arial Narrow"/>
        </w:rPr>
        <w:t>Compte te</w:t>
      </w:r>
      <w:r w:rsidR="00DD23B9">
        <w:rPr>
          <w:rFonts w:ascii="Arial Narrow" w:hAnsi="Arial Narrow"/>
        </w:rPr>
        <w:t>nu du contexte de la pandémie de la</w:t>
      </w:r>
      <w:r w:rsidRPr="00C77249">
        <w:rPr>
          <w:rFonts w:ascii="Arial Narrow" w:hAnsi="Arial Narrow"/>
        </w:rPr>
        <w:t xml:space="preserve"> COVID-19, la réunion s’est tenue de façon rotative par groupes thématiques du CREDD et dans le respect des mesures barrières édictées par les autorités, notamment la distanciation et le port de masques.</w:t>
      </w:r>
      <w:r w:rsidRPr="00C77249">
        <w:rPr>
          <w:rFonts w:ascii="Arial Narrow" w:eastAsia="Calibri" w:hAnsi="Arial Narrow"/>
        </w:rPr>
        <w:t xml:space="preserve"> </w:t>
      </w:r>
      <w:r w:rsidRPr="00C77249">
        <w:rPr>
          <w:rFonts w:ascii="Arial Narrow" w:hAnsi="Arial Narrow" w:cs="Calibri"/>
        </w:rPr>
        <w:t>A l’issue de la réunion, il a été recommandé aux CPS d’envoyer à la CT-CSLP, leurs rapports de revues sectorielles, au plus tard le vendredi 12 juin 2020.</w:t>
      </w:r>
      <w:r w:rsidRPr="00C77249">
        <w:rPr>
          <w:rFonts w:ascii="Arial Narrow" w:hAnsi="Arial Narrow" w:cs="Calibri"/>
          <w:color w:val="FF0000"/>
        </w:rPr>
        <w:t> </w:t>
      </w:r>
    </w:p>
    <w:p w14:paraId="40850844" w14:textId="77777777" w:rsidR="002A3C42" w:rsidRPr="002A3C42" w:rsidRDefault="002A3C42" w:rsidP="002A3C42">
      <w:pPr>
        <w:pStyle w:val="Paragraphedeliste"/>
        <w:rPr>
          <w:rFonts w:ascii="Arial Narrow" w:hAnsi="Arial Narrow"/>
        </w:rPr>
      </w:pPr>
    </w:p>
    <w:p w14:paraId="4A9ADCAA" w14:textId="77777777" w:rsidR="002A3C42" w:rsidRPr="00C77249" w:rsidRDefault="002A3C42" w:rsidP="00C77249">
      <w:pPr>
        <w:pStyle w:val="Paragraphedeliste"/>
        <w:numPr>
          <w:ilvl w:val="0"/>
          <w:numId w:val="2"/>
        </w:numPr>
        <w:spacing w:after="240" w:line="276" w:lineRule="auto"/>
        <w:jc w:val="both"/>
        <w:rPr>
          <w:rFonts w:ascii="Arial Narrow" w:hAnsi="Arial Narrow"/>
        </w:rPr>
      </w:pPr>
      <w:r>
        <w:rPr>
          <w:rFonts w:ascii="Arial Narrow" w:hAnsi="Arial Narrow"/>
        </w:rPr>
        <w:t>Participation et appui des cadres de la CT</w:t>
      </w:r>
      <w:r w:rsidR="00176EA3">
        <w:rPr>
          <w:rFonts w:ascii="Arial Narrow" w:hAnsi="Arial Narrow"/>
        </w:rPr>
        <w:t>-CSLP à l’élaboration des rapports des revues sectorielles et des rapports des groupes thématiques.</w:t>
      </w:r>
    </w:p>
    <w:p w14:paraId="321035EF" w14:textId="77777777" w:rsidR="00C77249" w:rsidRPr="00C77249" w:rsidRDefault="00C77249" w:rsidP="00C77249">
      <w:pPr>
        <w:pStyle w:val="Paragraphedeliste"/>
        <w:rPr>
          <w:rFonts w:ascii="Arial Narrow" w:hAnsi="Arial Narrow"/>
        </w:rPr>
      </w:pPr>
    </w:p>
    <w:p w14:paraId="32F1D2F0" w14:textId="77777777" w:rsidR="00E11C8B" w:rsidRPr="00FD58AD" w:rsidRDefault="00E11C8B" w:rsidP="00FD58AD">
      <w:pPr>
        <w:pStyle w:val="Paragraphedeliste"/>
        <w:numPr>
          <w:ilvl w:val="0"/>
          <w:numId w:val="11"/>
        </w:numPr>
        <w:jc w:val="both"/>
        <w:rPr>
          <w:rFonts w:ascii="Arial Narrow" w:hAnsi="Arial Narrow" w:cs="Arial"/>
          <w:b/>
          <w:u w:val="single"/>
        </w:rPr>
      </w:pPr>
      <w:r w:rsidRPr="00FD58AD">
        <w:rPr>
          <w:rFonts w:ascii="Arial Narrow" w:hAnsi="Arial Narrow" w:cs="Arial"/>
          <w:b/>
          <w:u w:val="single"/>
        </w:rPr>
        <w:t>Tenue des revues</w:t>
      </w:r>
    </w:p>
    <w:p w14:paraId="0236151C" w14:textId="77777777" w:rsidR="00FD58AD" w:rsidRDefault="00FD58AD" w:rsidP="00C77249">
      <w:pPr>
        <w:jc w:val="both"/>
        <w:rPr>
          <w:rFonts w:ascii="Arial Narrow" w:hAnsi="Arial Narrow" w:cs="Arial"/>
          <w:sz w:val="24"/>
          <w:szCs w:val="24"/>
        </w:rPr>
      </w:pPr>
    </w:p>
    <w:p w14:paraId="6FD4976E" w14:textId="77777777" w:rsidR="00C77249" w:rsidRPr="007852C9" w:rsidRDefault="00C77249" w:rsidP="00C77249">
      <w:pPr>
        <w:jc w:val="both"/>
        <w:rPr>
          <w:rFonts w:ascii="Arial Narrow" w:hAnsi="Arial Narrow" w:cs="Arial"/>
        </w:rPr>
      </w:pPr>
      <w:r w:rsidRPr="00E11C8B">
        <w:rPr>
          <w:rFonts w:ascii="Arial Narrow" w:hAnsi="Arial Narrow" w:cs="Arial"/>
          <w:sz w:val="24"/>
          <w:szCs w:val="24"/>
        </w:rPr>
        <w:t>A la date du 30 juin 2020</w:t>
      </w:r>
      <w:r>
        <w:rPr>
          <w:rFonts w:ascii="Arial Narrow" w:hAnsi="Arial Narrow" w:cs="Arial"/>
          <w:sz w:val="24"/>
          <w:szCs w:val="24"/>
        </w:rPr>
        <w:t>,</w:t>
      </w:r>
      <w:r w:rsidRPr="00A46FDD">
        <w:rPr>
          <w:rFonts w:ascii="Arial Narrow" w:hAnsi="Arial Narrow" w:cs="Arial"/>
          <w:sz w:val="24"/>
          <w:szCs w:val="24"/>
        </w:rPr>
        <w:t xml:space="preserve"> sur les onze (11) Cellules de Planification et de Statistique (CPS), </w:t>
      </w:r>
      <w:r>
        <w:rPr>
          <w:rFonts w:ascii="Arial Narrow" w:hAnsi="Arial Narrow" w:cs="Arial"/>
          <w:sz w:val="24"/>
          <w:szCs w:val="24"/>
        </w:rPr>
        <w:t xml:space="preserve">neuf </w:t>
      </w:r>
      <w:r w:rsidRPr="00A46FDD">
        <w:rPr>
          <w:rFonts w:ascii="Arial Narrow" w:hAnsi="Arial Narrow" w:cs="Arial"/>
          <w:sz w:val="24"/>
          <w:szCs w:val="24"/>
        </w:rPr>
        <w:t xml:space="preserve">(09) ont envoyé leurs </w:t>
      </w:r>
      <w:r>
        <w:rPr>
          <w:rFonts w:ascii="Arial Narrow" w:hAnsi="Arial Narrow" w:cs="Arial"/>
          <w:sz w:val="24"/>
          <w:szCs w:val="24"/>
        </w:rPr>
        <w:t>rapports par e-mail à la CT-CSLP :</w:t>
      </w:r>
      <w:r w:rsidRPr="00CB1725">
        <w:rPr>
          <w:rFonts w:ascii="Arial Narrow" w:hAnsi="Arial Narrow"/>
          <w:sz w:val="24"/>
          <w:szCs w:val="24"/>
        </w:rPr>
        <w:t xml:space="preserve"> </w:t>
      </w:r>
      <w:r w:rsidRPr="00A46FDD">
        <w:rPr>
          <w:rFonts w:ascii="Arial Narrow" w:hAnsi="Arial Narrow"/>
          <w:sz w:val="24"/>
          <w:szCs w:val="24"/>
        </w:rPr>
        <w:t xml:space="preserve">(i) Développement Rural ; (ii) </w:t>
      </w:r>
      <w:r w:rsidRPr="00A46FDD">
        <w:rPr>
          <w:rFonts w:ascii="Arial Narrow" w:hAnsi="Arial Narrow"/>
          <w:color w:val="000000"/>
          <w:sz w:val="24"/>
          <w:szCs w:val="24"/>
        </w:rPr>
        <w:t>Industrie, Commerce, Artisanat, Emploi et Promotion de l’Investissement Privé ; (iii</w:t>
      </w:r>
      <w:r w:rsidRPr="006140B8">
        <w:rPr>
          <w:rFonts w:ascii="Arial Narrow" w:hAnsi="Arial Narrow"/>
          <w:color w:val="000000"/>
          <w:sz w:val="24"/>
          <w:szCs w:val="24"/>
        </w:rPr>
        <w:t>)</w:t>
      </w:r>
      <w:r w:rsidRPr="006140B8">
        <w:rPr>
          <w:rFonts w:ascii="Arial Narrow" w:hAnsi="Arial Narrow"/>
          <w:sz w:val="24"/>
          <w:szCs w:val="24"/>
        </w:rPr>
        <w:t xml:space="preserve"> </w:t>
      </w:r>
      <w:r w:rsidRPr="004021C3">
        <w:rPr>
          <w:rFonts w:ascii="Arial Narrow" w:hAnsi="Arial Narrow" w:cs="Arial"/>
          <w:sz w:val="24"/>
          <w:szCs w:val="24"/>
        </w:rPr>
        <w:t xml:space="preserve">Mines et Energie ; (iv) </w:t>
      </w:r>
      <w:r w:rsidRPr="006140B8">
        <w:rPr>
          <w:rFonts w:ascii="Arial Narrow" w:hAnsi="Arial Narrow"/>
          <w:sz w:val="24"/>
          <w:szCs w:val="24"/>
        </w:rPr>
        <w:t xml:space="preserve"> </w:t>
      </w:r>
      <w:r w:rsidRPr="004021C3">
        <w:rPr>
          <w:rFonts w:ascii="Arial Narrow" w:hAnsi="Arial Narrow" w:cs="Arial"/>
          <w:sz w:val="24"/>
          <w:szCs w:val="24"/>
        </w:rPr>
        <w:t>Equipement, Tra</w:t>
      </w:r>
      <w:r w:rsidR="002A3C42">
        <w:rPr>
          <w:rFonts w:ascii="Arial Narrow" w:hAnsi="Arial Narrow" w:cs="Arial"/>
          <w:sz w:val="24"/>
          <w:szCs w:val="24"/>
        </w:rPr>
        <w:t xml:space="preserve">nsports et Communication ; (v) </w:t>
      </w:r>
      <w:r w:rsidRPr="004021C3">
        <w:rPr>
          <w:rFonts w:ascii="Arial Narrow" w:hAnsi="Arial Narrow" w:cs="Arial"/>
          <w:sz w:val="24"/>
          <w:szCs w:val="24"/>
        </w:rPr>
        <w:t>Culture, Jeunesse et Sports ; (vi</w:t>
      </w:r>
      <w:r w:rsidRPr="006140B8">
        <w:rPr>
          <w:rFonts w:ascii="Arial Narrow" w:hAnsi="Arial Narrow"/>
          <w:sz w:val="24"/>
          <w:szCs w:val="24"/>
        </w:rPr>
        <w:t xml:space="preserve"> </w:t>
      </w:r>
      <w:r w:rsidRPr="004021C3">
        <w:rPr>
          <w:rFonts w:ascii="Arial Narrow" w:hAnsi="Arial Narrow" w:cs="Arial"/>
          <w:sz w:val="24"/>
          <w:szCs w:val="24"/>
        </w:rPr>
        <w:t>) Eau, Environnement, Urbanisme et Domaines de l’Etat ; (vii)</w:t>
      </w:r>
      <w:r w:rsidRPr="00A46FDD">
        <w:rPr>
          <w:rFonts w:ascii="Arial Narrow" w:hAnsi="Arial Narrow"/>
          <w:sz w:val="24"/>
          <w:szCs w:val="24"/>
        </w:rPr>
        <w:t xml:space="preserve"> Administration du Territoire, Travail, Fonction </w:t>
      </w:r>
      <w:r>
        <w:rPr>
          <w:rFonts w:ascii="Arial Narrow" w:hAnsi="Arial Narrow"/>
          <w:sz w:val="24"/>
          <w:szCs w:val="24"/>
        </w:rPr>
        <w:t xml:space="preserve">Publique et Sécurité intérieure ; </w:t>
      </w:r>
      <w:r>
        <w:rPr>
          <w:rFonts w:ascii="Arial Narrow" w:hAnsi="Arial Narrow" w:cs="Arial"/>
        </w:rPr>
        <w:t xml:space="preserve"> </w:t>
      </w:r>
      <w:r w:rsidRPr="004021C3">
        <w:rPr>
          <w:rFonts w:ascii="Arial Narrow" w:hAnsi="Arial Narrow" w:cs="Arial"/>
          <w:sz w:val="24"/>
          <w:szCs w:val="24"/>
        </w:rPr>
        <w:t>(viii)</w:t>
      </w:r>
      <w:r w:rsidRPr="004021C3">
        <w:rPr>
          <w:rFonts w:ascii="Arial Narrow" w:hAnsi="Arial Narrow" w:cs="Arial"/>
          <w:b/>
          <w:sz w:val="24"/>
          <w:szCs w:val="24"/>
        </w:rPr>
        <w:t xml:space="preserve"> </w:t>
      </w:r>
      <w:r w:rsidRPr="004021C3">
        <w:rPr>
          <w:rFonts w:ascii="Arial Narrow" w:hAnsi="Arial Narrow" w:cs="Arial"/>
          <w:sz w:val="24"/>
          <w:szCs w:val="24"/>
        </w:rPr>
        <w:t>Justice ; (ix) Coopération et Intégration</w:t>
      </w:r>
      <w:r>
        <w:rPr>
          <w:rFonts w:ascii="Arial Narrow" w:hAnsi="Arial Narrow" w:cs="Arial"/>
        </w:rPr>
        <w:t xml:space="preserve">. </w:t>
      </w:r>
      <w:r>
        <w:rPr>
          <w:rFonts w:ascii="Arial Narrow" w:hAnsi="Arial Narrow"/>
          <w:sz w:val="24"/>
          <w:szCs w:val="24"/>
        </w:rPr>
        <w:t>Sur ces neuf (9) rapports provisoires reçus, deux (2) sont validés en présentiel avec la participation des partenaires. Il s’agit des secteurs « Mines et Energies » et « </w:t>
      </w:r>
      <w:r w:rsidRPr="00A46FDD">
        <w:rPr>
          <w:rFonts w:ascii="Arial Narrow" w:hAnsi="Arial Narrow"/>
          <w:sz w:val="24"/>
          <w:szCs w:val="24"/>
        </w:rPr>
        <w:t>Administration du Territoire, Travail, Fonction</w:t>
      </w:r>
      <w:r>
        <w:rPr>
          <w:rFonts w:ascii="Arial Narrow" w:hAnsi="Arial Narrow"/>
          <w:sz w:val="24"/>
          <w:szCs w:val="24"/>
        </w:rPr>
        <w:t xml:space="preserve"> Publ</w:t>
      </w:r>
      <w:r w:rsidR="004C1E51">
        <w:rPr>
          <w:rFonts w:ascii="Arial Narrow" w:hAnsi="Arial Narrow"/>
          <w:sz w:val="24"/>
          <w:szCs w:val="24"/>
        </w:rPr>
        <w:t xml:space="preserve">ique et Sécurité Intérieure ». </w:t>
      </w:r>
      <w:r>
        <w:rPr>
          <w:rFonts w:ascii="Arial Narrow" w:hAnsi="Arial Narrow"/>
          <w:sz w:val="24"/>
          <w:szCs w:val="24"/>
        </w:rPr>
        <w:t>Toutefois, d’autres secteurs ont validé leurs rapports par télétravail.</w:t>
      </w:r>
      <w:r w:rsidRPr="00A46FDD">
        <w:rPr>
          <w:rFonts w:ascii="Arial Narrow" w:hAnsi="Arial Narrow"/>
          <w:sz w:val="24"/>
          <w:szCs w:val="24"/>
        </w:rPr>
        <w:t xml:space="preserve"> </w:t>
      </w:r>
    </w:p>
    <w:p w14:paraId="49C24302" w14:textId="77777777" w:rsidR="00C77249" w:rsidRPr="00A46FDD" w:rsidRDefault="00C77249" w:rsidP="00C77249">
      <w:pPr>
        <w:jc w:val="both"/>
        <w:rPr>
          <w:rFonts w:ascii="Arial Narrow" w:hAnsi="Arial Narrow"/>
          <w:sz w:val="24"/>
          <w:szCs w:val="24"/>
        </w:rPr>
      </w:pPr>
      <w:r w:rsidRPr="0028706A">
        <w:rPr>
          <w:rFonts w:ascii="Arial Narrow" w:hAnsi="Arial Narrow" w:cs="Arial"/>
          <w:sz w:val="24"/>
          <w:szCs w:val="24"/>
        </w:rPr>
        <w:t>A cause d</w:t>
      </w:r>
      <w:r>
        <w:rPr>
          <w:rFonts w:ascii="Arial Narrow" w:hAnsi="Arial Narrow" w:cs="Arial"/>
          <w:sz w:val="24"/>
          <w:szCs w:val="24"/>
        </w:rPr>
        <w:t>e</w:t>
      </w:r>
      <w:r w:rsidRPr="0028706A">
        <w:rPr>
          <w:rFonts w:ascii="Arial Narrow" w:hAnsi="Arial Narrow" w:cs="Arial"/>
          <w:sz w:val="24"/>
          <w:szCs w:val="24"/>
        </w:rPr>
        <w:t xml:space="preserve"> </w:t>
      </w:r>
      <w:r>
        <w:rPr>
          <w:rFonts w:ascii="Arial Narrow" w:hAnsi="Arial Narrow" w:cs="Arial"/>
          <w:sz w:val="24"/>
          <w:szCs w:val="24"/>
        </w:rPr>
        <w:t xml:space="preserve">la </w:t>
      </w:r>
      <w:r w:rsidRPr="0028706A">
        <w:rPr>
          <w:rFonts w:ascii="Arial Narrow" w:hAnsi="Arial Narrow" w:cs="Arial"/>
          <w:sz w:val="24"/>
          <w:szCs w:val="24"/>
        </w:rPr>
        <w:t>Covid-19</w:t>
      </w:r>
      <w:r w:rsidRPr="0028706A">
        <w:rPr>
          <w:rFonts w:ascii="Arial Narrow" w:hAnsi="Arial Narrow" w:cs="Arial"/>
        </w:rPr>
        <w:t xml:space="preserve">, </w:t>
      </w:r>
      <w:r w:rsidRPr="0028706A">
        <w:rPr>
          <w:rFonts w:ascii="Arial Narrow" w:hAnsi="Arial Narrow" w:cs="Arial"/>
          <w:sz w:val="24"/>
          <w:szCs w:val="24"/>
        </w:rPr>
        <w:t xml:space="preserve"> les CPS </w:t>
      </w:r>
      <w:r w:rsidRPr="0028706A">
        <w:rPr>
          <w:rFonts w:ascii="Arial Narrow" w:hAnsi="Arial Narrow"/>
          <w:sz w:val="24"/>
          <w:szCs w:val="24"/>
        </w:rPr>
        <w:t xml:space="preserve">du Secteur Education et du Secteur Santé, Développement Social et Promotion de la Famille n’ont pas </w:t>
      </w:r>
      <w:r w:rsidR="002A3C42">
        <w:rPr>
          <w:rFonts w:ascii="Arial Narrow" w:hAnsi="Arial Narrow"/>
          <w:sz w:val="24"/>
          <w:szCs w:val="24"/>
        </w:rPr>
        <w:t>pu</w:t>
      </w:r>
      <w:r w:rsidR="00176EA3">
        <w:rPr>
          <w:rFonts w:ascii="Arial Narrow" w:hAnsi="Arial Narrow"/>
          <w:sz w:val="24"/>
          <w:szCs w:val="24"/>
        </w:rPr>
        <w:t xml:space="preserve"> envoyer</w:t>
      </w:r>
      <w:r w:rsidRPr="0028706A">
        <w:rPr>
          <w:rFonts w:ascii="Arial Narrow" w:hAnsi="Arial Narrow"/>
          <w:sz w:val="24"/>
          <w:szCs w:val="24"/>
        </w:rPr>
        <w:t xml:space="preserve"> leurs rapports (technique ou mémorandum) qu’elles ont l’habitude d’envoyer chaque année. </w:t>
      </w:r>
      <w:r>
        <w:rPr>
          <w:rFonts w:ascii="Arial Narrow" w:hAnsi="Arial Narrow"/>
          <w:sz w:val="24"/>
          <w:szCs w:val="24"/>
        </w:rPr>
        <w:t>Toutefois, la CPS Education a envoyé un « Rapport de suivi des indicateurs du système éducatif de 2015 à 2019-2020 » et un rapport de programme. Quant à la CPS Santé</w:t>
      </w:r>
      <w:r w:rsidRPr="003E19A7">
        <w:rPr>
          <w:rFonts w:ascii="Arial Narrow" w:hAnsi="Arial Narrow"/>
          <w:sz w:val="24"/>
          <w:szCs w:val="24"/>
        </w:rPr>
        <w:t xml:space="preserve"> </w:t>
      </w:r>
      <w:r w:rsidRPr="00A46FDD">
        <w:rPr>
          <w:rFonts w:ascii="Arial Narrow" w:hAnsi="Arial Narrow"/>
          <w:sz w:val="24"/>
          <w:szCs w:val="24"/>
        </w:rPr>
        <w:t>Développement Social et Promotion de la Famille</w:t>
      </w:r>
      <w:r>
        <w:rPr>
          <w:rFonts w:ascii="Arial Narrow" w:hAnsi="Arial Narrow"/>
          <w:sz w:val="24"/>
          <w:szCs w:val="24"/>
        </w:rPr>
        <w:t>, elle a envoyé par Email un Rapport provisoire respectant le canevas de la Note additive accompagnant la note d’orientation relative à l’organisation des revues.</w:t>
      </w:r>
    </w:p>
    <w:p w14:paraId="3C9191CC" w14:textId="77777777" w:rsidR="00C77249" w:rsidRDefault="00C77249" w:rsidP="00C77249">
      <w:pPr>
        <w:autoSpaceDE w:val="0"/>
        <w:jc w:val="both"/>
        <w:rPr>
          <w:rFonts w:ascii="Arial Narrow" w:eastAsia="Times New Roman" w:hAnsi="Arial Narrow"/>
          <w:sz w:val="24"/>
          <w:szCs w:val="24"/>
          <w:lang w:val="fr-ML"/>
        </w:rPr>
      </w:pPr>
      <w:r w:rsidRPr="00BE0716">
        <w:rPr>
          <w:rFonts w:ascii="Arial Narrow" w:hAnsi="Arial Narrow" w:cs="Arial"/>
          <w:sz w:val="24"/>
          <w:szCs w:val="24"/>
        </w:rPr>
        <w:t xml:space="preserve">A ces revues sectorielles, il faut ajouter la Revue du Schéma Directeur Statistique dont le processus d’organisation a démarré en février 2020. </w:t>
      </w:r>
      <w:r w:rsidRPr="00BE0716">
        <w:rPr>
          <w:rFonts w:ascii="Arial Narrow" w:eastAsia="Times New Roman" w:hAnsi="Arial Narrow"/>
          <w:sz w:val="24"/>
          <w:szCs w:val="24"/>
          <w:lang w:val="fr-ML"/>
        </w:rPr>
        <w:t xml:space="preserve">Le </w:t>
      </w:r>
      <w:r w:rsidR="00D53EFE">
        <w:rPr>
          <w:rFonts w:ascii="Arial Narrow" w:eastAsia="Times New Roman" w:hAnsi="Arial Narrow"/>
          <w:sz w:val="24"/>
          <w:szCs w:val="24"/>
          <w:lang w:val="fr-ML"/>
        </w:rPr>
        <w:t>t</w:t>
      </w:r>
      <w:r w:rsidRPr="00BE0716">
        <w:rPr>
          <w:rFonts w:ascii="Arial Narrow" w:eastAsia="Times New Roman" w:hAnsi="Arial Narrow"/>
          <w:sz w:val="24"/>
          <w:szCs w:val="24"/>
          <w:lang w:val="fr-ML"/>
        </w:rPr>
        <w:t>raitement des données</w:t>
      </w:r>
      <w:r w:rsidR="00BC4364">
        <w:rPr>
          <w:rFonts w:ascii="Arial Narrow" w:eastAsia="Times New Roman" w:hAnsi="Arial Narrow"/>
          <w:sz w:val="24"/>
          <w:szCs w:val="24"/>
          <w:lang w:val="fr-ML"/>
        </w:rPr>
        <w:t xml:space="preserve"> </w:t>
      </w:r>
      <w:r w:rsidR="00D53EFE">
        <w:rPr>
          <w:rFonts w:ascii="Arial Narrow" w:eastAsia="Times New Roman" w:hAnsi="Arial Narrow"/>
          <w:sz w:val="24"/>
          <w:szCs w:val="24"/>
          <w:lang w:val="fr-ML"/>
        </w:rPr>
        <w:t>a été réalisé</w:t>
      </w:r>
      <w:r w:rsidRPr="00BE0716">
        <w:rPr>
          <w:rFonts w:ascii="Arial Narrow" w:eastAsia="Times New Roman" w:hAnsi="Arial Narrow"/>
          <w:sz w:val="24"/>
          <w:szCs w:val="24"/>
          <w:lang w:val="fr-ML"/>
        </w:rPr>
        <w:t xml:space="preserve"> et les versions provisoires des rapports bilans et programmes 2020, 2021 et 2022-2023 sont disponibles depuis le 20 juin 2020.</w:t>
      </w:r>
    </w:p>
    <w:p w14:paraId="3793126E" w14:textId="77777777" w:rsidR="00D53EFE" w:rsidRDefault="00D53EFE" w:rsidP="00F82188">
      <w:pPr>
        <w:pStyle w:val="Paragraphedeliste"/>
        <w:numPr>
          <w:ilvl w:val="0"/>
          <w:numId w:val="11"/>
        </w:numPr>
        <w:jc w:val="both"/>
        <w:rPr>
          <w:rFonts w:ascii="Arial Narrow" w:hAnsi="Arial Narrow" w:cs="Arial"/>
          <w:b/>
          <w:u w:val="single"/>
        </w:rPr>
      </w:pPr>
      <w:r w:rsidRPr="00F82188">
        <w:rPr>
          <w:rFonts w:ascii="Arial Narrow" w:hAnsi="Arial Narrow" w:cs="Arial"/>
          <w:b/>
          <w:u w:val="single"/>
        </w:rPr>
        <w:t>Elaboration et validation des rapports des Groupes thématiques</w:t>
      </w:r>
    </w:p>
    <w:p w14:paraId="2036DF34" w14:textId="77777777" w:rsidR="00D53EFE" w:rsidRPr="00F82188" w:rsidRDefault="00D53EFE" w:rsidP="00F82188">
      <w:pPr>
        <w:pStyle w:val="Paragraphedeliste"/>
        <w:jc w:val="both"/>
        <w:rPr>
          <w:rFonts w:ascii="Arial Narrow" w:hAnsi="Arial Narrow" w:cs="Arial"/>
          <w:b/>
          <w:u w:val="single"/>
        </w:rPr>
      </w:pPr>
    </w:p>
    <w:p w14:paraId="741D8E2D" w14:textId="77777777" w:rsidR="00C77249" w:rsidRPr="00BE0716" w:rsidRDefault="00C77249" w:rsidP="00C77249">
      <w:pPr>
        <w:autoSpaceDE w:val="0"/>
        <w:jc w:val="both"/>
        <w:rPr>
          <w:rFonts w:ascii="Arial Narrow" w:hAnsi="Arial Narrow" w:cs="Arial Narrow"/>
          <w:sz w:val="24"/>
          <w:szCs w:val="24"/>
          <w:lang w:val="fr-ML"/>
        </w:rPr>
      </w:pPr>
      <w:r>
        <w:rPr>
          <w:rFonts w:ascii="Arial Narrow" w:eastAsia="Times New Roman" w:hAnsi="Arial Narrow"/>
          <w:sz w:val="24"/>
          <w:szCs w:val="24"/>
          <w:lang w:val="fr-ML"/>
        </w:rPr>
        <w:t>S</w:t>
      </w:r>
      <w:r w:rsidRPr="00BE0716">
        <w:rPr>
          <w:rFonts w:ascii="Arial Narrow" w:eastAsia="Times New Roman" w:hAnsi="Arial Narrow"/>
          <w:sz w:val="24"/>
          <w:szCs w:val="24"/>
          <w:lang w:val="fr-ML"/>
        </w:rPr>
        <w:t>ous le leadership du Coordonnateur de la CT-CSLP</w:t>
      </w:r>
      <w:r w:rsidR="008B55C6">
        <w:rPr>
          <w:rFonts w:ascii="Arial Narrow" w:eastAsia="Times New Roman" w:hAnsi="Arial Narrow"/>
          <w:sz w:val="24"/>
          <w:szCs w:val="24"/>
          <w:lang w:val="fr-ML"/>
        </w:rPr>
        <w:t>,</w:t>
      </w:r>
      <w:r w:rsidRPr="00BE0716">
        <w:rPr>
          <w:rFonts w:ascii="Arial Narrow" w:eastAsia="Times New Roman" w:hAnsi="Arial Narrow"/>
          <w:sz w:val="24"/>
          <w:szCs w:val="24"/>
          <w:lang w:val="fr-ML"/>
        </w:rPr>
        <w:t xml:space="preserve"> </w:t>
      </w:r>
      <w:r w:rsidR="008B55C6">
        <w:rPr>
          <w:rFonts w:ascii="Arial Narrow" w:eastAsia="Times New Roman" w:hAnsi="Arial Narrow"/>
          <w:sz w:val="24"/>
          <w:szCs w:val="24"/>
          <w:lang w:val="fr-ML"/>
        </w:rPr>
        <w:t>l</w:t>
      </w:r>
      <w:r w:rsidRPr="00BE0716">
        <w:rPr>
          <w:rFonts w:ascii="Arial Narrow" w:eastAsia="Times New Roman" w:hAnsi="Arial Narrow"/>
          <w:sz w:val="24"/>
          <w:szCs w:val="24"/>
          <w:lang w:val="fr-ML"/>
        </w:rPr>
        <w:t xml:space="preserve">es Présidents des quatre </w:t>
      </w:r>
      <w:r>
        <w:rPr>
          <w:rFonts w:ascii="Arial Narrow" w:eastAsia="Times New Roman" w:hAnsi="Arial Narrow"/>
          <w:sz w:val="24"/>
          <w:szCs w:val="24"/>
          <w:lang w:val="fr-ML"/>
        </w:rPr>
        <w:t>Groupes Thématiques</w:t>
      </w:r>
      <w:r w:rsidR="008B55C6">
        <w:rPr>
          <w:rFonts w:ascii="Arial Narrow" w:eastAsia="Times New Roman" w:hAnsi="Arial Narrow"/>
          <w:sz w:val="24"/>
          <w:szCs w:val="24"/>
          <w:lang w:val="fr-ML"/>
        </w:rPr>
        <w:t xml:space="preserve"> ont tenu leurs réunion</w:t>
      </w:r>
      <w:r w:rsidR="005C2F9E">
        <w:rPr>
          <w:rFonts w:ascii="Arial Narrow" w:eastAsia="Times New Roman" w:hAnsi="Arial Narrow"/>
          <w:sz w:val="24"/>
          <w:szCs w:val="24"/>
          <w:lang w:val="fr-ML"/>
        </w:rPr>
        <w:t>s</w:t>
      </w:r>
      <w:r w:rsidR="008B55C6">
        <w:rPr>
          <w:rFonts w:ascii="Arial Narrow" w:eastAsia="Times New Roman" w:hAnsi="Arial Narrow"/>
          <w:sz w:val="24"/>
          <w:szCs w:val="24"/>
          <w:lang w:val="fr-ML"/>
        </w:rPr>
        <w:t xml:space="preserve"> de validation des rapports des Groupes</w:t>
      </w:r>
      <w:r w:rsidR="008F1013">
        <w:rPr>
          <w:rFonts w:ascii="Arial Narrow" w:eastAsia="Times New Roman" w:hAnsi="Arial Narrow"/>
          <w:sz w:val="24"/>
          <w:szCs w:val="24"/>
          <w:lang w:val="fr-ML"/>
        </w:rPr>
        <w:t xml:space="preserve"> thématiques respectivement</w:t>
      </w:r>
      <w:r w:rsidR="008B55C6">
        <w:rPr>
          <w:rFonts w:ascii="Arial Narrow" w:eastAsia="Times New Roman" w:hAnsi="Arial Narrow"/>
          <w:sz w:val="24"/>
          <w:szCs w:val="24"/>
          <w:lang w:val="fr-ML"/>
        </w:rPr>
        <w:t xml:space="preserve"> le</w:t>
      </w:r>
      <w:r w:rsidR="00454CA8">
        <w:rPr>
          <w:rFonts w:ascii="Arial Narrow" w:eastAsia="Times New Roman" w:hAnsi="Arial Narrow"/>
          <w:sz w:val="24"/>
          <w:szCs w:val="24"/>
          <w:lang w:val="fr-ML"/>
        </w:rPr>
        <w:t xml:space="preserve"> 30 juin</w:t>
      </w:r>
      <w:r w:rsidR="008F1013">
        <w:rPr>
          <w:rFonts w:ascii="Arial Narrow" w:eastAsia="Times New Roman" w:hAnsi="Arial Narrow"/>
          <w:sz w:val="24"/>
          <w:szCs w:val="24"/>
          <w:lang w:val="fr-ML"/>
        </w:rPr>
        <w:t>,</w:t>
      </w:r>
      <w:r w:rsidR="00454CA8">
        <w:rPr>
          <w:rFonts w:ascii="Arial Narrow" w:eastAsia="Times New Roman" w:hAnsi="Arial Narrow"/>
          <w:sz w:val="24"/>
          <w:szCs w:val="24"/>
          <w:lang w:val="fr-ML"/>
        </w:rPr>
        <w:t xml:space="preserve"> pour le Groupe </w:t>
      </w:r>
      <w:r w:rsidR="00454CA8" w:rsidRPr="00BE0716">
        <w:rPr>
          <w:rFonts w:ascii="Arial Narrow" w:hAnsi="Arial Narrow" w:cs="Arial Narrow"/>
          <w:sz w:val="24"/>
          <w:szCs w:val="24"/>
          <w:lang w:val="fr-ML"/>
        </w:rPr>
        <w:t>Développement Institutionnel et Gouvernance</w:t>
      </w:r>
      <w:r w:rsidR="00454CA8">
        <w:rPr>
          <w:rFonts w:ascii="Arial Narrow" w:hAnsi="Arial Narrow" w:cs="Arial Narrow"/>
          <w:sz w:val="24"/>
          <w:szCs w:val="24"/>
          <w:lang w:val="fr-ML"/>
        </w:rPr>
        <w:t xml:space="preserve"> et le</w:t>
      </w:r>
      <w:r w:rsidR="008B55C6">
        <w:rPr>
          <w:rFonts w:ascii="Arial Narrow" w:eastAsia="Times New Roman" w:hAnsi="Arial Narrow"/>
          <w:sz w:val="24"/>
          <w:szCs w:val="24"/>
          <w:lang w:val="fr-ML"/>
        </w:rPr>
        <w:t xml:space="preserve"> </w:t>
      </w:r>
      <w:r w:rsidR="00454CA8">
        <w:rPr>
          <w:rFonts w:ascii="Arial Narrow" w:hAnsi="Arial Narrow" w:cs="Arial Narrow"/>
          <w:sz w:val="24"/>
          <w:szCs w:val="24"/>
          <w:lang w:val="fr-ML"/>
        </w:rPr>
        <w:t>Groupe Capital H</w:t>
      </w:r>
      <w:r w:rsidR="008F1013">
        <w:rPr>
          <w:rFonts w:ascii="Arial Narrow" w:hAnsi="Arial Narrow" w:cs="Arial Narrow"/>
          <w:sz w:val="24"/>
          <w:szCs w:val="24"/>
          <w:lang w:val="fr-ML"/>
        </w:rPr>
        <w:t>umain</w:t>
      </w:r>
      <w:r w:rsidR="00454CA8">
        <w:rPr>
          <w:rFonts w:ascii="Arial Narrow" w:eastAsia="Times New Roman" w:hAnsi="Arial Narrow"/>
          <w:sz w:val="24"/>
          <w:szCs w:val="24"/>
          <w:lang w:val="fr-ML"/>
        </w:rPr>
        <w:t xml:space="preserve"> et le 02 juillet</w:t>
      </w:r>
      <w:r w:rsidR="008F1013">
        <w:rPr>
          <w:rFonts w:ascii="Arial Narrow" w:eastAsia="Times New Roman" w:hAnsi="Arial Narrow"/>
          <w:sz w:val="24"/>
          <w:szCs w:val="24"/>
          <w:lang w:val="fr-ML"/>
        </w:rPr>
        <w:t>,</w:t>
      </w:r>
      <w:r w:rsidR="00454CA8">
        <w:rPr>
          <w:rFonts w:ascii="Arial Narrow" w:eastAsia="Times New Roman" w:hAnsi="Arial Narrow"/>
          <w:sz w:val="24"/>
          <w:szCs w:val="24"/>
          <w:lang w:val="fr-ML"/>
        </w:rPr>
        <w:t xml:space="preserve">  </w:t>
      </w:r>
      <w:r w:rsidR="008B55C6">
        <w:rPr>
          <w:rFonts w:ascii="Arial Narrow" w:eastAsia="Times New Roman" w:hAnsi="Arial Narrow"/>
          <w:sz w:val="24"/>
          <w:szCs w:val="24"/>
          <w:lang w:val="fr-ML"/>
        </w:rPr>
        <w:t xml:space="preserve">pour le </w:t>
      </w:r>
      <w:r>
        <w:rPr>
          <w:rFonts w:ascii="Arial Narrow" w:hAnsi="Arial Narrow" w:cs="Arial Narrow"/>
          <w:sz w:val="24"/>
          <w:szCs w:val="24"/>
          <w:lang w:val="fr-ML"/>
        </w:rPr>
        <w:t xml:space="preserve"> Groupe C</w:t>
      </w:r>
      <w:r w:rsidRPr="00BE0716">
        <w:rPr>
          <w:rFonts w:ascii="Arial Narrow" w:hAnsi="Arial Narrow" w:cs="Arial Narrow"/>
          <w:sz w:val="24"/>
          <w:szCs w:val="24"/>
          <w:lang w:val="fr-ML"/>
        </w:rPr>
        <w:t>roi</w:t>
      </w:r>
      <w:r>
        <w:rPr>
          <w:rFonts w:ascii="Arial Narrow" w:hAnsi="Arial Narrow" w:cs="Arial Narrow"/>
          <w:sz w:val="24"/>
          <w:szCs w:val="24"/>
          <w:lang w:val="fr-ML"/>
        </w:rPr>
        <w:t>ssance Economique Inclusive et D</w:t>
      </w:r>
      <w:r w:rsidRPr="00BE0716">
        <w:rPr>
          <w:rFonts w:ascii="Arial Narrow" w:hAnsi="Arial Narrow" w:cs="Arial Narrow"/>
          <w:sz w:val="24"/>
          <w:szCs w:val="24"/>
          <w:lang w:val="fr-ML"/>
        </w:rPr>
        <w:t xml:space="preserve">urable </w:t>
      </w:r>
      <w:r w:rsidR="00454CA8">
        <w:rPr>
          <w:rFonts w:ascii="Arial Narrow" w:hAnsi="Arial Narrow" w:cs="Arial Narrow"/>
          <w:sz w:val="24"/>
          <w:szCs w:val="24"/>
          <w:lang w:val="fr-ML"/>
        </w:rPr>
        <w:t xml:space="preserve"> et</w:t>
      </w:r>
      <w:r w:rsidR="008B55C6">
        <w:rPr>
          <w:rFonts w:ascii="Arial Narrow" w:hAnsi="Arial Narrow" w:cs="Arial Narrow"/>
          <w:sz w:val="24"/>
          <w:szCs w:val="24"/>
          <w:lang w:val="fr-ML"/>
        </w:rPr>
        <w:t xml:space="preserve"> le</w:t>
      </w:r>
      <w:r>
        <w:rPr>
          <w:rFonts w:ascii="Arial Narrow" w:hAnsi="Arial Narrow" w:cs="Arial Narrow"/>
          <w:sz w:val="24"/>
          <w:szCs w:val="24"/>
          <w:lang w:val="fr-ML"/>
        </w:rPr>
        <w:t xml:space="preserve"> Groupe P</w:t>
      </w:r>
      <w:r w:rsidRPr="00BE0716">
        <w:rPr>
          <w:rFonts w:ascii="Arial Narrow" w:hAnsi="Arial Narrow" w:cs="Arial Narrow"/>
          <w:sz w:val="24"/>
          <w:szCs w:val="24"/>
          <w:lang w:val="fr-ML"/>
        </w:rPr>
        <w:t>rotection de l’</w:t>
      </w:r>
      <w:r>
        <w:rPr>
          <w:rFonts w:ascii="Arial Narrow" w:hAnsi="Arial Narrow" w:cs="Arial Narrow"/>
          <w:sz w:val="24"/>
          <w:szCs w:val="24"/>
          <w:lang w:val="fr-ML"/>
        </w:rPr>
        <w:t>E</w:t>
      </w:r>
      <w:r w:rsidRPr="00BE0716">
        <w:rPr>
          <w:rFonts w:ascii="Arial Narrow" w:hAnsi="Arial Narrow" w:cs="Arial Narrow"/>
          <w:sz w:val="24"/>
          <w:szCs w:val="24"/>
          <w:lang w:val="fr-ML"/>
        </w:rPr>
        <w:t>nvironnement</w:t>
      </w:r>
      <w:r w:rsidR="008F1013">
        <w:rPr>
          <w:rFonts w:ascii="Arial Narrow" w:hAnsi="Arial Narrow" w:cs="Arial Narrow"/>
          <w:sz w:val="24"/>
          <w:szCs w:val="24"/>
          <w:lang w:val="fr-ML"/>
        </w:rPr>
        <w:t>.</w:t>
      </w:r>
      <w:r w:rsidR="008B55C6">
        <w:rPr>
          <w:rFonts w:ascii="Arial Narrow" w:hAnsi="Arial Narrow" w:cs="Arial Narrow"/>
          <w:sz w:val="24"/>
          <w:szCs w:val="24"/>
          <w:lang w:val="fr-ML"/>
        </w:rPr>
        <w:t xml:space="preserve"> </w:t>
      </w:r>
    </w:p>
    <w:p w14:paraId="2CE44EB5" w14:textId="77777777" w:rsidR="00C77249" w:rsidRDefault="00C77249" w:rsidP="00C77249">
      <w:pPr>
        <w:autoSpaceDE w:val="0"/>
        <w:jc w:val="both"/>
        <w:rPr>
          <w:rFonts w:ascii="Arial Narrow" w:eastAsia="Times New Roman" w:hAnsi="Arial Narrow"/>
          <w:lang w:val="fr-ML"/>
        </w:rPr>
      </w:pPr>
      <w:r w:rsidRPr="005142C0">
        <w:rPr>
          <w:rFonts w:ascii="Arial Narrow" w:hAnsi="Arial Narrow" w:cs="Arial Narrow"/>
          <w:sz w:val="24"/>
          <w:szCs w:val="24"/>
          <w:highlight w:val="green"/>
          <w:lang w:val="fr-ML"/>
        </w:rPr>
        <w:t>Enfin, la synthèse de ces quatre rapports de</w:t>
      </w:r>
      <w:r w:rsidR="008B55C6" w:rsidRPr="005142C0">
        <w:rPr>
          <w:rFonts w:ascii="Arial Narrow" w:hAnsi="Arial Narrow" w:cs="Arial Narrow"/>
          <w:sz w:val="24"/>
          <w:szCs w:val="24"/>
          <w:highlight w:val="green"/>
          <w:lang w:val="fr-ML"/>
        </w:rPr>
        <w:t>s</w:t>
      </w:r>
      <w:r w:rsidRPr="005142C0">
        <w:rPr>
          <w:rFonts w:ascii="Arial Narrow" w:hAnsi="Arial Narrow" w:cs="Arial Narrow"/>
          <w:sz w:val="24"/>
          <w:szCs w:val="24"/>
          <w:highlight w:val="green"/>
          <w:lang w:val="fr-ML"/>
        </w:rPr>
        <w:t xml:space="preserve"> Groupes Thématiques a conduit à l’élaboration du Rapport 2019 de mise en œuvre du CREDD (2019-2023) qui a été envoyé le 03 juillet 2020 à tous les acteurs (Gouvernement, PTF, C</w:t>
      </w:r>
      <w:r w:rsidR="008F1013" w:rsidRPr="005142C0">
        <w:rPr>
          <w:rFonts w:ascii="Arial Narrow" w:hAnsi="Arial Narrow" w:cs="Arial Narrow"/>
          <w:sz w:val="24"/>
          <w:szCs w:val="24"/>
          <w:highlight w:val="green"/>
          <w:lang w:val="fr-ML"/>
        </w:rPr>
        <w:t xml:space="preserve">onseil </w:t>
      </w:r>
      <w:r w:rsidRPr="005142C0">
        <w:rPr>
          <w:rFonts w:ascii="Arial Narrow" w:hAnsi="Arial Narrow" w:cs="Arial Narrow"/>
          <w:sz w:val="24"/>
          <w:szCs w:val="24"/>
          <w:highlight w:val="green"/>
          <w:lang w:val="fr-ML"/>
        </w:rPr>
        <w:t>N</w:t>
      </w:r>
      <w:r w:rsidR="008F1013" w:rsidRPr="005142C0">
        <w:rPr>
          <w:rFonts w:ascii="Arial Narrow" w:hAnsi="Arial Narrow" w:cs="Arial Narrow"/>
          <w:sz w:val="24"/>
          <w:szCs w:val="24"/>
          <w:highlight w:val="green"/>
          <w:lang w:val="fr-ML"/>
        </w:rPr>
        <w:t xml:space="preserve">ational de la </w:t>
      </w:r>
      <w:r w:rsidRPr="005142C0">
        <w:rPr>
          <w:rFonts w:ascii="Arial Narrow" w:hAnsi="Arial Narrow" w:cs="Arial Narrow"/>
          <w:sz w:val="24"/>
          <w:szCs w:val="24"/>
          <w:highlight w:val="green"/>
          <w:lang w:val="fr-ML"/>
        </w:rPr>
        <w:t>S</w:t>
      </w:r>
      <w:r w:rsidR="008F1013" w:rsidRPr="005142C0">
        <w:rPr>
          <w:rFonts w:ascii="Arial Narrow" w:hAnsi="Arial Narrow" w:cs="Arial Narrow"/>
          <w:sz w:val="24"/>
          <w:szCs w:val="24"/>
          <w:highlight w:val="green"/>
          <w:lang w:val="fr-ML"/>
        </w:rPr>
        <w:t xml:space="preserve">ociété </w:t>
      </w:r>
      <w:r w:rsidRPr="005142C0">
        <w:rPr>
          <w:rFonts w:ascii="Arial Narrow" w:hAnsi="Arial Narrow" w:cs="Arial Narrow"/>
          <w:sz w:val="24"/>
          <w:szCs w:val="24"/>
          <w:highlight w:val="green"/>
          <w:lang w:val="fr-ML"/>
        </w:rPr>
        <w:t>C</w:t>
      </w:r>
      <w:r w:rsidR="008F1013" w:rsidRPr="005142C0">
        <w:rPr>
          <w:rFonts w:ascii="Arial Narrow" w:hAnsi="Arial Narrow" w:cs="Arial Narrow"/>
          <w:sz w:val="24"/>
          <w:szCs w:val="24"/>
          <w:highlight w:val="green"/>
          <w:lang w:val="fr-ML"/>
        </w:rPr>
        <w:t>ivile</w:t>
      </w:r>
      <w:r w:rsidRPr="005142C0">
        <w:rPr>
          <w:rFonts w:ascii="Arial Narrow" w:hAnsi="Arial Narrow" w:cs="Arial Narrow"/>
          <w:sz w:val="24"/>
          <w:szCs w:val="24"/>
          <w:highlight w:val="green"/>
          <w:lang w:val="fr-ML"/>
        </w:rPr>
        <w:t xml:space="preserve"> et C</w:t>
      </w:r>
      <w:r w:rsidR="008F1013" w:rsidRPr="005142C0">
        <w:rPr>
          <w:rFonts w:ascii="Arial Narrow" w:hAnsi="Arial Narrow" w:cs="Arial Narrow"/>
          <w:sz w:val="24"/>
          <w:szCs w:val="24"/>
          <w:highlight w:val="green"/>
          <w:lang w:val="fr-ML"/>
        </w:rPr>
        <w:t xml:space="preserve">onseil </w:t>
      </w:r>
      <w:r w:rsidRPr="005142C0">
        <w:rPr>
          <w:rFonts w:ascii="Arial Narrow" w:hAnsi="Arial Narrow" w:cs="Arial Narrow"/>
          <w:sz w:val="24"/>
          <w:szCs w:val="24"/>
          <w:highlight w:val="green"/>
          <w:lang w:val="fr-ML"/>
        </w:rPr>
        <w:t>N</w:t>
      </w:r>
      <w:r w:rsidR="008F1013" w:rsidRPr="005142C0">
        <w:rPr>
          <w:rFonts w:ascii="Arial Narrow" w:hAnsi="Arial Narrow" w:cs="Arial Narrow"/>
          <w:sz w:val="24"/>
          <w:szCs w:val="24"/>
          <w:highlight w:val="green"/>
          <w:lang w:val="fr-ML"/>
        </w:rPr>
        <w:t xml:space="preserve">ational du </w:t>
      </w:r>
      <w:r w:rsidRPr="005142C0">
        <w:rPr>
          <w:rFonts w:ascii="Arial Narrow" w:hAnsi="Arial Narrow" w:cs="Arial Narrow"/>
          <w:sz w:val="24"/>
          <w:szCs w:val="24"/>
          <w:highlight w:val="green"/>
          <w:lang w:val="fr-ML"/>
        </w:rPr>
        <w:t>P</w:t>
      </w:r>
      <w:r w:rsidR="008F1013" w:rsidRPr="005142C0">
        <w:rPr>
          <w:rFonts w:ascii="Arial Narrow" w:hAnsi="Arial Narrow" w:cs="Arial Narrow"/>
          <w:sz w:val="24"/>
          <w:szCs w:val="24"/>
          <w:highlight w:val="green"/>
          <w:lang w:val="fr-ML"/>
        </w:rPr>
        <w:t xml:space="preserve">atronat du </w:t>
      </w:r>
      <w:r w:rsidRPr="005142C0">
        <w:rPr>
          <w:rFonts w:ascii="Arial Narrow" w:hAnsi="Arial Narrow" w:cs="Arial Narrow"/>
          <w:sz w:val="24"/>
          <w:szCs w:val="24"/>
          <w:highlight w:val="green"/>
          <w:lang w:val="fr-ML"/>
        </w:rPr>
        <w:t>M</w:t>
      </w:r>
      <w:r w:rsidR="008F1013" w:rsidRPr="005142C0">
        <w:rPr>
          <w:rFonts w:ascii="Arial Narrow" w:hAnsi="Arial Narrow" w:cs="Arial Narrow"/>
          <w:sz w:val="24"/>
          <w:szCs w:val="24"/>
          <w:highlight w:val="green"/>
          <w:lang w:val="fr-ML"/>
        </w:rPr>
        <w:t>ali</w:t>
      </w:r>
      <w:r w:rsidRPr="005142C0">
        <w:rPr>
          <w:rFonts w:ascii="Arial Narrow" w:hAnsi="Arial Narrow" w:cs="Arial Narrow"/>
          <w:sz w:val="24"/>
          <w:szCs w:val="24"/>
          <w:highlight w:val="green"/>
          <w:lang w:val="fr-ML"/>
        </w:rPr>
        <w:t>).</w:t>
      </w:r>
    </w:p>
    <w:p w14:paraId="4DAC410E" w14:textId="77777777" w:rsidR="008932A2" w:rsidRPr="005142C0" w:rsidRDefault="008932A2" w:rsidP="008932A2">
      <w:pPr>
        <w:pStyle w:val="Paragraphedeliste"/>
        <w:numPr>
          <w:ilvl w:val="0"/>
          <w:numId w:val="11"/>
        </w:numPr>
        <w:jc w:val="both"/>
        <w:rPr>
          <w:rFonts w:ascii="Arial Narrow" w:hAnsi="Arial Narrow" w:cs="Arial"/>
          <w:b/>
          <w:highlight w:val="green"/>
          <w:u w:val="single"/>
        </w:rPr>
      </w:pPr>
      <w:r w:rsidRPr="005142C0">
        <w:rPr>
          <w:rFonts w:ascii="Arial Narrow" w:hAnsi="Arial Narrow" w:cs="Arial"/>
          <w:b/>
          <w:highlight w:val="green"/>
          <w:u w:val="single"/>
        </w:rPr>
        <w:t>Tenue de la Session Technique de la Revue CREDD-ODD</w:t>
      </w:r>
    </w:p>
    <w:p w14:paraId="6448A4FA" w14:textId="77777777" w:rsidR="008932A2" w:rsidRDefault="008932A2" w:rsidP="00C77249">
      <w:pPr>
        <w:spacing w:after="0"/>
        <w:jc w:val="both"/>
        <w:rPr>
          <w:rFonts w:ascii="Arial Narrow" w:hAnsi="Arial Narrow"/>
          <w:sz w:val="24"/>
          <w:szCs w:val="24"/>
        </w:rPr>
      </w:pPr>
    </w:p>
    <w:p w14:paraId="51EE046E" w14:textId="77777777" w:rsidR="00C77249" w:rsidRPr="00CF5E3D" w:rsidRDefault="00C77249" w:rsidP="00C77249">
      <w:pPr>
        <w:spacing w:after="0"/>
        <w:jc w:val="both"/>
        <w:rPr>
          <w:rFonts w:ascii="Arial Narrow" w:hAnsi="Arial Narrow"/>
          <w:sz w:val="24"/>
          <w:szCs w:val="24"/>
        </w:rPr>
      </w:pPr>
      <w:r w:rsidRPr="005142C0">
        <w:rPr>
          <w:rFonts w:ascii="Arial Narrow" w:hAnsi="Arial Narrow"/>
          <w:sz w:val="24"/>
          <w:szCs w:val="24"/>
          <w:highlight w:val="green"/>
        </w:rPr>
        <w:t xml:space="preserve">La session technique de la revue 2019 de mise en œuvre du CREDD et des ODD, qui était prévue les 13 et 14 juillet 2020, s’est finalement tenue le mercredi </w:t>
      </w:r>
      <w:r w:rsidRPr="005142C0">
        <w:rPr>
          <w:rFonts w:ascii="Arial Narrow" w:hAnsi="Arial Narrow"/>
          <w:b/>
          <w:sz w:val="24"/>
          <w:szCs w:val="24"/>
          <w:highlight w:val="green"/>
        </w:rPr>
        <w:t xml:space="preserve">29 juillet 2020, </w:t>
      </w:r>
      <w:r w:rsidRPr="005142C0">
        <w:rPr>
          <w:rFonts w:ascii="Arial Narrow" w:hAnsi="Arial Narrow"/>
          <w:sz w:val="24"/>
          <w:szCs w:val="24"/>
          <w:highlight w:val="green"/>
        </w:rPr>
        <w:t>au Centre International de Conférence</w:t>
      </w:r>
      <w:r w:rsidR="00E11C8B" w:rsidRPr="005142C0">
        <w:rPr>
          <w:rFonts w:ascii="Arial Narrow" w:hAnsi="Arial Narrow"/>
          <w:sz w:val="24"/>
          <w:szCs w:val="24"/>
          <w:highlight w:val="green"/>
        </w:rPr>
        <w:t>s</w:t>
      </w:r>
      <w:r w:rsidRPr="005142C0">
        <w:rPr>
          <w:rFonts w:ascii="Arial Narrow" w:hAnsi="Arial Narrow"/>
          <w:sz w:val="24"/>
          <w:szCs w:val="24"/>
          <w:highlight w:val="green"/>
        </w:rPr>
        <w:t xml:space="preserve"> de Bamako (CICB).</w:t>
      </w:r>
    </w:p>
    <w:p w14:paraId="332CC23C" w14:textId="77777777" w:rsidR="00C77249" w:rsidRPr="00CF5E3D" w:rsidRDefault="00C77249" w:rsidP="00C77249">
      <w:pPr>
        <w:spacing w:after="0"/>
        <w:jc w:val="both"/>
        <w:rPr>
          <w:rFonts w:ascii="Arial Narrow" w:hAnsi="Arial Narrow"/>
          <w:sz w:val="24"/>
          <w:szCs w:val="24"/>
        </w:rPr>
      </w:pPr>
    </w:p>
    <w:p w14:paraId="57243C35" w14:textId="77777777" w:rsidR="00C77249" w:rsidRDefault="00C77249" w:rsidP="00C77249">
      <w:pPr>
        <w:spacing w:after="0"/>
        <w:jc w:val="both"/>
        <w:rPr>
          <w:rFonts w:ascii="Arial Narrow" w:hAnsi="Arial Narrow"/>
          <w:sz w:val="24"/>
          <w:szCs w:val="24"/>
        </w:rPr>
      </w:pPr>
      <w:r w:rsidRPr="00CF5E3D">
        <w:rPr>
          <w:rFonts w:ascii="Arial Narrow" w:hAnsi="Arial Narrow"/>
          <w:sz w:val="24"/>
          <w:szCs w:val="24"/>
        </w:rPr>
        <w:t xml:space="preserve">Présidée par </w:t>
      </w:r>
      <w:r w:rsidR="00CF5E3D" w:rsidRPr="00D17DF9">
        <w:rPr>
          <w:rFonts w:ascii="Arial Narrow" w:hAnsi="Arial Narrow"/>
          <w:sz w:val="24"/>
          <w:szCs w:val="24"/>
        </w:rPr>
        <w:t>Monsieur Di</w:t>
      </w:r>
      <w:r w:rsidRPr="00D17DF9">
        <w:rPr>
          <w:rFonts w:ascii="Arial Narrow" w:hAnsi="Arial Narrow"/>
          <w:sz w:val="24"/>
          <w:szCs w:val="24"/>
        </w:rPr>
        <w:t>akaridia DEMBELE</w:t>
      </w:r>
      <w:r w:rsidRPr="00CF5E3D">
        <w:rPr>
          <w:rFonts w:ascii="Arial Narrow" w:hAnsi="Arial Narrow"/>
          <w:b/>
          <w:sz w:val="24"/>
          <w:szCs w:val="24"/>
        </w:rPr>
        <w:t xml:space="preserve">, </w:t>
      </w:r>
      <w:r w:rsidRPr="00CF5E3D">
        <w:rPr>
          <w:rFonts w:ascii="Arial Narrow" w:hAnsi="Arial Narrow"/>
          <w:sz w:val="24"/>
          <w:szCs w:val="24"/>
        </w:rPr>
        <w:t>Conseiller Technique représentant le Secrétaire Général du Ministère de l’Economie et des Finances,</w:t>
      </w:r>
      <w:r w:rsidR="00815F60">
        <w:rPr>
          <w:rFonts w:ascii="Arial Narrow" w:hAnsi="Arial Narrow"/>
          <w:sz w:val="24"/>
          <w:szCs w:val="24"/>
        </w:rPr>
        <w:t xml:space="preserve"> en présence </w:t>
      </w:r>
      <w:r w:rsidR="008B55C6">
        <w:rPr>
          <w:rFonts w:ascii="Arial Narrow" w:hAnsi="Arial Narrow"/>
          <w:sz w:val="24"/>
          <w:szCs w:val="24"/>
        </w:rPr>
        <w:t>de Monsieur Giancarlo De</w:t>
      </w:r>
      <w:r w:rsidR="00BC4364">
        <w:rPr>
          <w:rFonts w:ascii="Arial Narrow" w:hAnsi="Arial Narrow"/>
          <w:sz w:val="24"/>
          <w:szCs w:val="24"/>
        </w:rPr>
        <w:t xml:space="preserve"> PICCIOTTO</w:t>
      </w:r>
      <w:r w:rsidR="008B55C6">
        <w:rPr>
          <w:rFonts w:ascii="Arial Narrow" w:hAnsi="Arial Narrow"/>
          <w:sz w:val="24"/>
          <w:szCs w:val="24"/>
        </w:rPr>
        <w:t xml:space="preserve">, Chef de la </w:t>
      </w:r>
      <w:r w:rsidR="008932A2">
        <w:rPr>
          <w:rFonts w:ascii="Arial Narrow" w:hAnsi="Arial Narrow"/>
          <w:sz w:val="24"/>
          <w:szCs w:val="24"/>
        </w:rPr>
        <w:t>C</w:t>
      </w:r>
      <w:r w:rsidR="008B55C6">
        <w:rPr>
          <w:rFonts w:ascii="Arial Narrow" w:hAnsi="Arial Narrow"/>
          <w:sz w:val="24"/>
          <w:szCs w:val="24"/>
        </w:rPr>
        <w:t xml:space="preserve">oopération Suisse, </w:t>
      </w:r>
      <w:r w:rsidR="00815F60">
        <w:rPr>
          <w:rFonts w:ascii="Arial Narrow" w:hAnsi="Arial Narrow"/>
          <w:sz w:val="24"/>
          <w:szCs w:val="24"/>
        </w:rPr>
        <w:t xml:space="preserve"> Chef de file des Partenaires Techniques et Financiers,</w:t>
      </w:r>
      <w:r w:rsidRPr="00CF5E3D">
        <w:rPr>
          <w:rFonts w:ascii="Arial Narrow" w:hAnsi="Arial Narrow"/>
          <w:sz w:val="24"/>
          <w:szCs w:val="24"/>
        </w:rPr>
        <w:t xml:space="preserve"> la session a enregistré la participation d’une cinquant</w:t>
      </w:r>
      <w:r w:rsidR="009D15C3" w:rsidRPr="00CF5E3D">
        <w:rPr>
          <w:rFonts w:ascii="Arial Narrow" w:hAnsi="Arial Narrow"/>
          <w:sz w:val="24"/>
          <w:szCs w:val="24"/>
        </w:rPr>
        <w:t>ain</w:t>
      </w:r>
      <w:r w:rsidRPr="00CF5E3D">
        <w:rPr>
          <w:rFonts w:ascii="Arial Narrow" w:hAnsi="Arial Narrow"/>
          <w:sz w:val="24"/>
          <w:szCs w:val="24"/>
        </w:rPr>
        <w:t xml:space="preserve">e de </w:t>
      </w:r>
      <w:r w:rsidR="002A3C42" w:rsidRPr="00CF5E3D">
        <w:rPr>
          <w:rFonts w:ascii="Arial Narrow" w:hAnsi="Arial Narrow"/>
          <w:sz w:val="24"/>
          <w:szCs w:val="24"/>
        </w:rPr>
        <w:t>personnes</w:t>
      </w:r>
      <w:r w:rsidR="009D15C3" w:rsidRPr="00CF5E3D">
        <w:rPr>
          <w:rFonts w:ascii="Arial Narrow" w:hAnsi="Arial Narrow"/>
          <w:sz w:val="24"/>
          <w:szCs w:val="24"/>
        </w:rPr>
        <w:t xml:space="preserve">, </w:t>
      </w:r>
      <w:r w:rsidRPr="00CF5E3D">
        <w:rPr>
          <w:rFonts w:ascii="Arial Narrow" w:hAnsi="Arial Narrow"/>
          <w:sz w:val="24"/>
          <w:szCs w:val="24"/>
        </w:rPr>
        <w:t>en raison des consignes à observer par rapport aux mesures préventives de la pandémie d</w:t>
      </w:r>
      <w:r w:rsidR="009D15C3" w:rsidRPr="00CF5E3D">
        <w:rPr>
          <w:rFonts w:ascii="Arial Narrow" w:hAnsi="Arial Narrow"/>
          <w:sz w:val="24"/>
          <w:szCs w:val="24"/>
        </w:rPr>
        <w:t>e la</w:t>
      </w:r>
      <w:r w:rsidRPr="00CF5E3D">
        <w:rPr>
          <w:rFonts w:ascii="Arial Narrow" w:hAnsi="Arial Narrow"/>
          <w:sz w:val="24"/>
          <w:szCs w:val="24"/>
        </w:rPr>
        <w:t xml:space="preserve"> COVID-19 limitant le nombre de personnes </w:t>
      </w:r>
      <w:r w:rsidR="009D15C3" w:rsidRPr="00CF5E3D">
        <w:rPr>
          <w:rFonts w:ascii="Arial Narrow" w:hAnsi="Arial Narrow"/>
          <w:sz w:val="24"/>
          <w:szCs w:val="24"/>
        </w:rPr>
        <w:t xml:space="preserve">à </w:t>
      </w:r>
      <w:r w:rsidR="008F1013">
        <w:rPr>
          <w:rFonts w:ascii="Arial Narrow" w:hAnsi="Arial Narrow"/>
          <w:sz w:val="24"/>
          <w:szCs w:val="24"/>
        </w:rPr>
        <w:t>cinquante (</w:t>
      </w:r>
      <w:r w:rsidR="009D15C3" w:rsidRPr="00CF5E3D">
        <w:rPr>
          <w:rFonts w:ascii="Arial Narrow" w:hAnsi="Arial Narrow"/>
          <w:sz w:val="24"/>
          <w:szCs w:val="24"/>
        </w:rPr>
        <w:t>50</w:t>
      </w:r>
      <w:r w:rsidR="008F1013">
        <w:rPr>
          <w:rFonts w:ascii="Arial Narrow" w:hAnsi="Arial Narrow"/>
          <w:sz w:val="24"/>
          <w:szCs w:val="24"/>
        </w:rPr>
        <w:t>)</w:t>
      </w:r>
      <w:r w:rsidR="00CF5E3D">
        <w:rPr>
          <w:rFonts w:ascii="Arial Narrow" w:hAnsi="Arial Narrow"/>
          <w:sz w:val="24"/>
          <w:szCs w:val="24"/>
        </w:rPr>
        <w:t>,</w:t>
      </w:r>
      <w:r w:rsidR="009D15C3" w:rsidRPr="00CF5E3D">
        <w:rPr>
          <w:rFonts w:ascii="Arial Narrow" w:hAnsi="Arial Narrow"/>
          <w:sz w:val="24"/>
          <w:szCs w:val="24"/>
        </w:rPr>
        <w:t xml:space="preserve"> </w:t>
      </w:r>
      <w:r w:rsidRPr="00CF5E3D">
        <w:rPr>
          <w:rFonts w:ascii="Arial Narrow" w:hAnsi="Arial Narrow"/>
          <w:sz w:val="24"/>
          <w:szCs w:val="24"/>
        </w:rPr>
        <w:t>lors des regroupements.</w:t>
      </w:r>
      <w:r w:rsidR="007E6322">
        <w:rPr>
          <w:rFonts w:ascii="Arial Narrow" w:hAnsi="Arial Narrow"/>
          <w:sz w:val="24"/>
          <w:szCs w:val="24"/>
        </w:rPr>
        <w:t xml:space="preserve"> On notait aussi la participation du Représentant régional du PNUD</w:t>
      </w:r>
      <w:r w:rsidR="008932A2">
        <w:rPr>
          <w:rFonts w:ascii="Arial Narrow" w:hAnsi="Arial Narrow"/>
          <w:sz w:val="24"/>
          <w:szCs w:val="24"/>
        </w:rPr>
        <w:t>,</w:t>
      </w:r>
      <w:r w:rsidR="007E6322">
        <w:rPr>
          <w:rFonts w:ascii="Arial Narrow" w:hAnsi="Arial Narrow"/>
          <w:sz w:val="24"/>
          <w:szCs w:val="24"/>
        </w:rPr>
        <w:t xml:space="preserve"> Monsieur J</w:t>
      </w:r>
      <w:r w:rsidR="004D72FC">
        <w:rPr>
          <w:rFonts w:ascii="Arial Narrow" w:hAnsi="Arial Narrow"/>
          <w:sz w:val="24"/>
          <w:szCs w:val="24"/>
        </w:rPr>
        <w:t xml:space="preserve">o SCHEUER </w:t>
      </w:r>
      <w:r w:rsidR="007E6322">
        <w:rPr>
          <w:rFonts w:ascii="Arial Narrow" w:hAnsi="Arial Narrow"/>
          <w:sz w:val="24"/>
          <w:szCs w:val="24"/>
        </w:rPr>
        <w:t>et d’autres représentants du PNUD.</w:t>
      </w:r>
    </w:p>
    <w:p w14:paraId="242690E0" w14:textId="77777777" w:rsidR="00F24B6A" w:rsidRDefault="00F24B6A" w:rsidP="00F24B6A">
      <w:pPr>
        <w:spacing w:after="0"/>
        <w:jc w:val="both"/>
        <w:rPr>
          <w:rFonts w:ascii="Arial Narrow" w:hAnsi="Arial Narrow"/>
          <w:sz w:val="24"/>
          <w:szCs w:val="24"/>
        </w:rPr>
      </w:pPr>
    </w:p>
    <w:p w14:paraId="7690B01F" w14:textId="77777777" w:rsidR="00F24B6A" w:rsidRDefault="00C77249" w:rsidP="00F24B6A">
      <w:pPr>
        <w:spacing w:after="0"/>
        <w:jc w:val="both"/>
        <w:rPr>
          <w:rFonts w:ascii="Arial Narrow" w:hAnsi="Arial Narrow"/>
          <w:sz w:val="24"/>
          <w:szCs w:val="24"/>
        </w:rPr>
      </w:pPr>
      <w:r w:rsidRPr="00CF5E3D">
        <w:rPr>
          <w:rFonts w:ascii="Arial Narrow" w:hAnsi="Arial Narrow"/>
          <w:sz w:val="24"/>
          <w:szCs w:val="24"/>
        </w:rPr>
        <w:t>Les participants sont constitués des représentants de certains départements ministériels clés, de certaines structures techniques, des organisations de la Société civile, du Secteur privé et des Partenai</w:t>
      </w:r>
      <w:r w:rsidR="008F1013">
        <w:rPr>
          <w:rFonts w:ascii="Arial Narrow" w:hAnsi="Arial Narrow"/>
          <w:sz w:val="24"/>
          <w:szCs w:val="24"/>
        </w:rPr>
        <w:t>res Techniques et Financiers.</w:t>
      </w:r>
    </w:p>
    <w:p w14:paraId="27C191CB" w14:textId="77777777" w:rsidR="00C77249" w:rsidRDefault="008F1013" w:rsidP="00F24B6A">
      <w:pPr>
        <w:spacing w:after="0"/>
        <w:jc w:val="both"/>
        <w:rPr>
          <w:rFonts w:ascii="Arial Narrow" w:hAnsi="Arial Narrow"/>
          <w:sz w:val="24"/>
          <w:szCs w:val="24"/>
        </w:rPr>
      </w:pPr>
      <w:r>
        <w:rPr>
          <w:rFonts w:ascii="Arial Narrow" w:hAnsi="Arial Narrow"/>
          <w:sz w:val="24"/>
          <w:szCs w:val="24"/>
        </w:rPr>
        <w:t xml:space="preserve">  </w:t>
      </w:r>
    </w:p>
    <w:p w14:paraId="4802EE64" w14:textId="77777777" w:rsidR="00570387" w:rsidRDefault="00570387" w:rsidP="00570387">
      <w:pPr>
        <w:jc w:val="both"/>
        <w:rPr>
          <w:rFonts w:ascii="Arial Narrow" w:hAnsi="Arial Narrow"/>
          <w:sz w:val="24"/>
          <w:szCs w:val="24"/>
        </w:rPr>
      </w:pPr>
      <w:r>
        <w:rPr>
          <w:rFonts w:ascii="Arial Narrow" w:hAnsi="Arial Narrow"/>
          <w:sz w:val="24"/>
          <w:szCs w:val="24"/>
        </w:rPr>
        <w:t>La tenue de la revue du CREDD et des ODD est une activité statutaire du dialogue avec les PTF notamment dans le cadre des conditionnalités générales de décaissement de l’ABG.</w:t>
      </w:r>
    </w:p>
    <w:p w14:paraId="33803D68" w14:textId="77777777" w:rsidR="00570387" w:rsidRDefault="00570387" w:rsidP="00570387">
      <w:pPr>
        <w:jc w:val="both"/>
        <w:rPr>
          <w:rFonts w:ascii="Arial Narrow" w:hAnsi="Arial Narrow"/>
          <w:sz w:val="24"/>
          <w:szCs w:val="24"/>
        </w:rPr>
      </w:pPr>
      <w:r>
        <w:rPr>
          <w:rFonts w:ascii="Arial Narrow" w:hAnsi="Arial Narrow"/>
          <w:sz w:val="24"/>
          <w:szCs w:val="24"/>
        </w:rPr>
        <w:t>Elle a permis d’avoir un dialogue fructueux avec les PTF sur la base des axes stratégiques du CREDD 2019-2023.</w:t>
      </w:r>
    </w:p>
    <w:p w14:paraId="59C098C5" w14:textId="77777777" w:rsidR="00570387" w:rsidRDefault="00570387" w:rsidP="00570387">
      <w:pPr>
        <w:jc w:val="both"/>
        <w:rPr>
          <w:rFonts w:ascii="Arial Narrow" w:hAnsi="Arial Narrow"/>
          <w:sz w:val="24"/>
          <w:szCs w:val="24"/>
        </w:rPr>
      </w:pPr>
      <w:r>
        <w:rPr>
          <w:rFonts w:ascii="Arial Narrow" w:hAnsi="Arial Narrow"/>
          <w:sz w:val="24"/>
          <w:szCs w:val="24"/>
        </w:rPr>
        <w:t>Le niveau et la qualité de la participation</w:t>
      </w:r>
      <w:r w:rsidR="0043466F">
        <w:rPr>
          <w:rFonts w:ascii="Arial Narrow" w:hAnsi="Arial Narrow"/>
          <w:sz w:val="24"/>
          <w:szCs w:val="24"/>
        </w:rPr>
        <w:t>,</w:t>
      </w:r>
      <w:r>
        <w:rPr>
          <w:rFonts w:ascii="Arial Narrow" w:hAnsi="Arial Narrow"/>
          <w:sz w:val="24"/>
          <w:szCs w:val="24"/>
        </w:rPr>
        <w:t xml:space="preserve"> ainsi que le contenu et la qualité des échanges</w:t>
      </w:r>
      <w:r w:rsidR="0043466F">
        <w:rPr>
          <w:rFonts w:ascii="Arial Narrow" w:hAnsi="Arial Narrow"/>
          <w:sz w:val="24"/>
          <w:szCs w:val="24"/>
        </w:rPr>
        <w:t>,</w:t>
      </w:r>
      <w:r>
        <w:rPr>
          <w:rFonts w:ascii="Arial Narrow" w:hAnsi="Arial Narrow"/>
          <w:sz w:val="24"/>
          <w:szCs w:val="24"/>
        </w:rPr>
        <w:t xml:space="preserve"> ont été bien appréciés par les parties prenantes. Malgré le contexte sécuritaire peu favorable et la situation de la Covid 19, la revue technique du CREDD a permis de maintenir un bon niveau de dialogue avec les PTF, la Société civile et le Secteur privé dans le cadre du dispositif de pilotage et de suivi évaluation du CREDD et des ODD.</w:t>
      </w:r>
    </w:p>
    <w:p w14:paraId="4CB19D2D" w14:textId="77777777" w:rsidR="00570387" w:rsidRDefault="00570387" w:rsidP="00570387">
      <w:pPr>
        <w:jc w:val="both"/>
        <w:rPr>
          <w:rFonts w:ascii="Arial Narrow" w:hAnsi="Arial Narrow"/>
          <w:sz w:val="24"/>
          <w:szCs w:val="24"/>
        </w:rPr>
      </w:pPr>
      <w:r>
        <w:rPr>
          <w:rFonts w:ascii="Arial Narrow" w:hAnsi="Arial Narrow"/>
          <w:sz w:val="24"/>
          <w:szCs w:val="24"/>
        </w:rPr>
        <w:t>Des propositions de recommandations et de thématiques pertinentes ont été formulées en perspectives de la session politique combinée RBC et CREDD.</w:t>
      </w:r>
    </w:p>
    <w:p w14:paraId="54E7987E" w14:textId="77777777" w:rsidR="0043466F" w:rsidRPr="00C5450A" w:rsidRDefault="0043466F" w:rsidP="0043466F">
      <w:pPr>
        <w:spacing w:after="0" w:line="240" w:lineRule="auto"/>
        <w:jc w:val="both"/>
        <w:rPr>
          <w:rFonts w:ascii="Arial Narrow" w:hAnsi="Arial Narrow"/>
          <w:sz w:val="24"/>
          <w:szCs w:val="24"/>
        </w:rPr>
      </w:pPr>
      <w:r w:rsidRPr="00C5450A">
        <w:rPr>
          <w:rFonts w:ascii="Arial Narrow" w:hAnsi="Arial Narrow"/>
          <w:sz w:val="24"/>
          <w:szCs w:val="24"/>
        </w:rPr>
        <w:t>De façon générale, les PTF ont salué les performances obtenues malgré le contexte de crise multidimensionnelle ayant caractérisé le pays en 2019. La tenue à bonne date de la revue a été aussi saluée par les parties prenantes, cependant, ils insistent sur l’amélioration de la qualité du rapport qui doit mettre l’accent beaucoup plus sur l’analyse des résultats de développement.</w:t>
      </w:r>
    </w:p>
    <w:p w14:paraId="53D20F1C" w14:textId="77777777" w:rsidR="0043466F" w:rsidRPr="00C5450A" w:rsidRDefault="0043466F" w:rsidP="0043466F">
      <w:pPr>
        <w:spacing w:after="0"/>
        <w:jc w:val="both"/>
        <w:rPr>
          <w:rFonts w:ascii="Arial Narrow" w:hAnsi="Arial Narrow"/>
          <w:sz w:val="16"/>
          <w:szCs w:val="16"/>
        </w:rPr>
      </w:pPr>
    </w:p>
    <w:p w14:paraId="3C9A903F" w14:textId="77777777" w:rsidR="0043466F" w:rsidRPr="00C5450A" w:rsidRDefault="0043466F" w:rsidP="0043466F">
      <w:pPr>
        <w:jc w:val="both"/>
        <w:rPr>
          <w:rFonts w:ascii="Arial Narrow" w:hAnsi="Arial Narrow"/>
          <w:sz w:val="24"/>
          <w:szCs w:val="24"/>
        </w:rPr>
      </w:pPr>
      <w:r w:rsidRPr="00C5450A">
        <w:rPr>
          <w:rFonts w:ascii="Arial Narrow" w:hAnsi="Arial Narrow"/>
          <w:sz w:val="24"/>
          <w:szCs w:val="24"/>
        </w:rPr>
        <w:t>A l’issue des échanges sur l</w:t>
      </w:r>
      <w:r w:rsidR="00F24B6A">
        <w:rPr>
          <w:rFonts w:ascii="Arial Narrow" w:hAnsi="Arial Narrow"/>
          <w:sz w:val="24"/>
          <w:szCs w:val="24"/>
        </w:rPr>
        <w:t>es recommandations de la revue,</w:t>
      </w:r>
      <w:r w:rsidRPr="00C5450A">
        <w:rPr>
          <w:rFonts w:ascii="Arial Narrow" w:hAnsi="Arial Narrow"/>
          <w:sz w:val="24"/>
          <w:szCs w:val="24"/>
        </w:rPr>
        <w:t xml:space="preserve"> les pistes ci-après ont été </w:t>
      </w:r>
      <w:r w:rsidR="005142C0">
        <w:rPr>
          <w:rFonts w:ascii="Arial Narrow" w:hAnsi="Arial Narrow"/>
          <w:sz w:val="24"/>
          <w:szCs w:val="24"/>
        </w:rPr>
        <w:t>dégagées</w:t>
      </w:r>
      <w:r w:rsidRPr="00C5450A">
        <w:rPr>
          <w:rFonts w:ascii="Arial Narrow" w:hAnsi="Arial Narrow"/>
          <w:sz w:val="24"/>
          <w:szCs w:val="24"/>
        </w:rPr>
        <w:t xml:space="preserve"> et feront l’objet de formulation claire par les PTF avant la transmission officielle à la Cellule Technique du CSLP. Il s’agit de :</w:t>
      </w:r>
    </w:p>
    <w:p w14:paraId="109C8A05" w14:textId="77777777" w:rsidR="0043466F" w:rsidRPr="00C5450A" w:rsidRDefault="0043466F" w:rsidP="0043466F">
      <w:pPr>
        <w:pStyle w:val="Paragraphedeliste"/>
        <w:numPr>
          <w:ilvl w:val="0"/>
          <w:numId w:val="28"/>
        </w:numPr>
        <w:suppressAutoHyphens w:val="0"/>
        <w:spacing w:after="200" w:line="276" w:lineRule="auto"/>
        <w:jc w:val="both"/>
        <w:rPr>
          <w:rFonts w:ascii="Arial Narrow" w:hAnsi="Arial Narrow"/>
        </w:rPr>
      </w:pPr>
      <w:r w:rsidRPr="00C5450A">
        <w:rPr>
          <w:rFonts w:ascii="Arial Narrow" w:hAnsi="Arial Narrow"/>
        </w:rPr>
        <w:t>la problématique des données statistiques et leur désagrégation ;</w:t>
      </w:r>
    </w:p>
    <w:p w14:paraId="6067A015" w14:textId="77777777" w:rsidR="0043466F" w:rsidRPr="00C5450A" w:rsidRDefault="0043466F" w:rsidP="0043466F">
      <w:pPr>
        <w:pStyle w:val="Paragraphedeliste"/>
        <w:numPr>
          <w:ilvl w:val="0"/>
          <w:numId w:val="28"/>
        </w:numPr>
        <w:suppressAutoHyphens w:val="0"/>
        <w:spacing w:after="200" w:line="276" w:lineRule="auto"/>
        <w:jc w:val="both"/>
        <w:rPr>
          <w:rFonts w:ascii="Arial Narrow" w:hAnsi="Arial Narrow"/>
        </w:rPr>
      </w:pPr>
      <w:r w:rsidRPr="00C5450A">
        <w:rPr>
          <w:rFonts w:ascii="Arial Narrow" w:hAnsi="Arial Narrow"/>
        </w:rPr>
        <w:t>la dématérialisation des procédures administratives en lien avec la corruption et la délinquance financière</w:t>
      </w:r>
      <w:r w:rsidR="00F24B6A">
        <w:rPr>
          <w:rFonts w:ascii="Arial Narrow" w:hAnsi="Arial Narrow"/>
        </w:rPr>
        <w:t xml:space="preserve"> </w:t>
      </w:r>
      <w:r w:rsidRPr="00C5450A">
        <w:rPr>
          <w:rFonts w:ascii="Arial Narrow" w:hAnsi="Arial Narrow"/>
        </w:rPr>
        <w:t>;</w:t>
      </w:r>
    </w:p>
    <w:p w14:paraId="02751D4D" w14:textId="77777777" w:rsidR="0043466F" w:rsidRPr="00C5450A" w:rsidRDefault="0043466F" w:rsidP="0043466F">
      <w:pPr>
        <w:pStyle w:val="Paragraphedeliste"/>
        <w:numPr>
          <w:ilvl w:val="0"/>
          <w:numId w:val="28"/>
        </w:numPr>
        <w:suppressAutoHyphens w:val="0"/>
        <w:spacing w:after="200" w:line="276" w:lineRule="auto"/>
        <w:jc w:val="both"/>
        <w:rPr>
          <w:rFonts w:ascii="Arial Narrow" w:hAnsi="Arial Narrow"/>
        </w:rPr>
      </w:pPr>
      <w:r w:rsidRPr="00C5450A">
        <w:rPr>
          <w:rFonts w:ascii="Arial Narrow" w:hAnsi="Arial Narrow"/>
        </w:rPr>
        <w:t>l’amélioration de l’analyse du rapport dans le sens d’atteindre les cibles du CREDD en 2023, dernière année de mise en œuvre du CREDD en cours ;</w:t>
      </w:r>
    </w:p>
    <w:p w14:paraId="61F1B404" w14:textId="77777777" w:rsidR="0043466F" w:rsidRDefault="0043466F" w:rsidP="0043466F">
      <w:pPr>
        <w:pStyle w:val="Paragraphedeliste"/>
        <w:numPr>
          <w:ilvl w:val="0"/>
          <w:numId w:val="28"/>
        </w:numPr>
        <w:suppressAutoHyphens w:val="0"/>
        <w:spacing w:after="200" w:line="276" w:lineRule="auto"/>
        <w:jc w:val="both"/>
        <w:rPr>
          <w:rFonts w:ascii="Arial Narrow" w:hAnsi="Arial Narrow"/>
        </w:rPr>
      </w:pPr>
      <w:r w:rsidRPr="00C5450A">
        <w:rPr>
          <w:rFonts w:ascii="Arial Narrow" w:hAnsi="Arial Narrow"/>
        </w:rPr>
        <w:t>le portage politique par le Ministère de l’Economie et des Finances de la question de changement climatique et la protection de l’environnement ;</w:t>
      </w:r>
    </w:p>
    <w:p w14:paraId="1093DB45" w14:textId="77777777" w:rsidR="0043466F" w:rsidRPr="00F82188" w:rsidRDefault="0043466F" w:rsidP="00F82188">
      <w:pPr>
        <w:pStyle w:val="Paragraphedeliste"/>
        <w:numPr>
          <w:ilvl w:val="0"/>
          <w:numId w:val="28"/>
        </w:numPr>
        <w:suppressAutoHyphens w:val="0"/>
        <w:spacing w:after="200" w:line="276" w:lineRule="auto"/>
        <w:jc w:val="both"/>
        <w:rPr>
          <w:rFonts w:ascii="Arial Narrow" w:hAnsi="Arial Narrow"/>
        </w:rPr>
      </w:pPr>
      <w:r w:rsidRPr="00F82188">
        <w:rPr>
          <w:rFonts w:ascii="Arial Narrow" w:hAnsi="Arial Narrow"/>
        </w:rPr>
        <w:t>la problématique de la collecte des données sur l’aide publique au développement en termes de prévisibilité et de décaissement</w:t>
      </w:r>
      <w:r w:rsidR="00F24B6A">
        <w:rPr>
          <w:rFonts w:ascii="Arial Narrow" w:hAnsi="Arial Narrow"/>
        </w:rPr>
        <w:t>.</w:t>
      </w:r>
    </w:p>
    <w:p w14:paraId="134F9A12" w14:textId="77777777" w:rsidR="00D81A10" w:rsidRDefault="008D69B1" w:rsidP="00D81A10">
      <w:pPr>
        <w:jc w:val="both"/>
        <w:rPr>
          <w:rFonts w:ascii="Arial Narrow" w:hAnsi="Arial Narrow"/>
          <w:sz w:val="24"/>
          <w:szCs w:val="24"/>
        </w:rPr>
      </w:pPr>
      <w:r w:rsidRPr="00373A2C">
        <w:rPr>
          <w:rFonts w:ascii="Arial Narrow" w:hAnsi="Arial Narrow"/>
          <w:b/>
          <w:bCs/>
          <w:sz w:val="24"/>
          <w:szCs w:val="24"/>
        </w:rPr>
        <w:t>La session politique</w:t>
      </w:r>
      <w:r w:rsidRPr="00373A2C">
        <w:rPr>
          <w:rFonts w:ascii="Arial Narrow" w:hAnsi="Arial Narrow"/>
          <w:bCs/>
          <w:sz w:val="24"/>
          <w:szCs w:val="24"/>
        </w:rPr>
        <w:t xml:space="preserve"> </w:t>
      </w:r>
      <w:r w:rsidRPr="00FD345B">
        <w:rPr>
          <w:rFonts w:ascii="Arial Narrow" w:hAnsi="Arial Narrow"/>
          <w:b/>
          <w:bCs/>
          <w:sz w:val="24"/>
          <w:szCs w:val="24"/>
        </w:rPr>
        <w:t xml:space="preserve">combinée de la revue </w:t>
      </w:r>
      <w:r>
        <w:rPr>
          <w:rFonts w:ascii="Arial Narrow" w:hAnsi="Arial Narrow"/>
          <w:b/>
          <w:bCs/>
          <w:sz w:val="24"/>
          <w:szCs w:val="24"/>
        </w:rPr>
        <w:t xml:space="preserve">du </w:t>
      </w:r>
      <w:r w:rsidRPr="00FD345B">
        <w:rPr>
          <w:rFonts w:ascii="Arial Narrow" w:hAnsi="Arial Narrow"/>
          <w:b/>
          <w:bCs/>
          <w:sz w:val="24"/>
          <w:szCs w:val="24"/>
        </w:rPr>
        <w:t>CREDD et de la RBC</w:t>
      </w:r>
      <w:r>
        <w:rPr>
          <w:rFonts w:ascii="Arial Narrow" w:hAnsi="Arial Narrow"/>
          <w:bCs/>
          <w:sz w:val="24"/>
          <w:szCs w:val="24"/>
        </w:rPr>
        <w:t xml:space="preserve"> qui </w:t>
      </w:r>
      <w:r w:rsidRPr="00373A2C">
        <w:rPr>
          <w:rFonts w:ascii="Arial Narrow" w:hAnsi="Arial Narrow"/>
          <w:bCs/>
          <w:sz w:val="24"/>
          <w:szCs w:val="24"/>
        </w:rPr>
        <w:t xml:space="preserve">servira de cadre de dialogue stratégique Gouvernement-PTF autour des recommandations issues de la session technique de la revue </w:t>
      </w:r>
      <w:r w:rsidRPr="00373A2C">
        <w:rPr>
          <w:rFonts w:ascii="Arial Narrow" w:hAnsi="Arial Narrow"/>
          <w:sz w:val="24"/>
          <w:szCs w:val="24"/>
        </w:rPr>
        <w:t>du CREDD et des ODD</w:t>
      </w:r>
      <w:r>
        <w:rPr>
          <w:rFonts w:ascii="Arial Narrow" w:hAnsi="Arial Narrow"/>
          <w:sz w:val="24"/>
          <w:szCs w:val="24"/>
        </w:rPr>
        <w:t xml:space="preserve"> </w:t>
      </w:r>
      <w:r w:rsidR="00302A5A">
        <w:rPr>
          <w:rFonts w:ascii="Arial Narrow" w:hAnsi="Arial Narrow"/>
          <w:sz w:val="24"/>
          <w:szCs w:val="24"/>
        </w:rPr>
        <w:t xml:space="preserve">ainsi que de la RBC </w:t>
      </w:r>
      <w:r w:rsidR="007E6322">
        <w:rPr>
          <w:rFonts w:ascii="Arial Narrow" w:hAnsi="Arial Narrow"/>
          <w:sz w:val="24"/>
          <w:szCs w:val="24"/>
        </w:rPr>
        <w:t xml:space="preserve">se tiendra </w:t>
      </w:r>
      <w:r>
        <w:rPr>
          <w:rFonts w:ascii="Arial Narrow" w:hAnsi="Arial Narrow"/>
          <w:sz w:val="24"/>
          <w:szCs w:val="24"/>
        </w:rPr>
        <w:t xml:space="preserve"> à une date ultérieure</w:t>
      </w:r>
      <w:r w:rsidR="007E6322">
        <w:rPr>
          <w:rFonts w:ascii="Arial Narrow" w:hAnsi="Arial Narrow"/>
          <w:sz w:val="24"/>
          <w:szCs w:val="24"/>
        </w:rPr>
        <w:t>.</w:t>
      </w:r>
      <w:r>
        <w:rPr>
          <w:rFonts w:ascii="Arial Narrow" w:hAnsi="Arial Narrow"/>
          <w:sz w:val="24"/>
          <w:szCs w:val="24"/>
        </w:rPr>
        <w:t xml:space="preserve"> </w:t>
      </w:r>
      <w:r w:rsidR="007E6322">
        <w:rPr>
          <w:rFonts w:ascii="Arial Narrow" w:hAnsi="Arial Narrow"/>
          <w:sz w:val="24"/>
          <w:szCs w:val="24"/>
        </w:rPr>
        <w:t xml:space="preserve"> </w:t>
      </w:r>
    </w:p>
    <w:p w14:paraId="6FD65A43" w14:textId="77777777" w:rsidR="00122ACE" w:rsidRDefault="00122ACE" w:rsidP="00D81A10">
      <w:pPr>
        <w:jc w:val="both"/>
        <w:rPr>
          <w:rFonts w:ascii="Arial Narrow" w:hAnsi="Arial Narrow"/>
          <w:sz w:val="24"/>
          <w:szCs w:val="24"/>
        </w:rPr>
      </w:pPr>
    </w:p>
    <w:p w14:paraId="0D519F40" w14:textId="77777777" w:rsidR="004D72FC" w:rsidRPr="00D81A10" w:rsidRDefault="004D72FC" w:rsidP="00D81A10">
      <w:pPr>
        <w:jc w:val="both"/>
        <w:rPr>
          <w:rFonts w:ascii="Arial Narrow" w:hAnsi="Arial Narrow"/>
        </w:rPr>
      </w:pPr>
    </w:p>
    <w:p w14:paraId="0F5704BD" w14:textId="77777777" w:rsidR="005749B2" w:rsidRDefault="005749B2" w:rsidP="00557391">
      <w:pPr>
        <w:pStyle w:val="Paragraphedeliste"/>
        <w:suppressAutoHyphens w:val="0"/>
        <w:spacing w:after="200" w:line="276" w:lineRule="auto"/>
        <w:jc w:val="both"/>
        <w:rPr>
          <w:rFonts w:ascii="Arial Narrow" w:hAnsi="Arial Narrow"/>
        </w:rPr>
      </w:pPr>
    </w:p>
    <w:p w14:paraId="185D79C4" w14:textId="77777777" w:rsidR="005749B2" w:rsidRDefault="005749B2" w:rsidP="005749B2">
      <w:pPr>
        <w:pStyle w:val="Paragraphedeliste"/>
        <w:numPr>
          <w:ilvl w:val="0"/>
          <w:numId w:val="7"/>
        </w:numPr>
        <w:rPr>
          <w:rFonts w:ascii="Arial Narrow" w:eastAsia="Calibri" w:hAnsi="Arial Narrow"/>
          <w:b/>
        </w:rPr>
      </w:pPr>
      <w:r w:rsidRPr="00557391">
        <w:rPr>
          <w:rFonts w:ascii="Arial Narrow" w:eastAsia="Calibri" w:hAnsi="Arial Narrow"/>
          <w:b/>
        </w:rPr>
        <w:t>Fonctionnement (Salaires gestionnaire, coordination et suivi des activités du Comité technique)</w:t>
      </w:r>
    </w:p>
    <w:p w14:paraId="55150308" w14:textId="77777777" w:rsidR="00502523" w:rsidRDefault="00302A5A" w:rsidP="005749B2">
      <w:pPr>
        <w:jc w:val="both"/>
        <w:rPr>
          <w:rFonts w:ascii="Arial Narrow" w:hAnsi="Arial Narrow"/>
        </w:rPr>
      </w:pPr>
      <w:r w:rsidRPr="00E87E3F">
        <w:rPr>
          <w:rFonts w:ascii="Arial Narrow" w:hAnsi="Arial Narrow"/>
          <w:sz w:val="24"/>
          <w:szCs w:val="24"/>
        </w:rPr>
        <w:t>L</w:t>
      </w:r>
      <w:r w:rsidR="00502523" w:rsidRPr="00E87E3F">
        <w:rPr>
          <w:rFonts w:ascii="Arial Narrow" w:hAnsi="Arial Narrow"/>
          <w:sz w:val="24"/>
          <w:szCs w:val="24"/>
        </w:rPr>
        <w:t>e tableau ci-dessous traite de la situation d’exécution financière</w:t>
      </w:r>
      <w:r w:rsidR="00502523">
        <w:rPr>
          <w:rFonts w:ascii="Arial Narrow" w:hAnsi="Arial Narrow"/>
        </w:rPr>
        <w:t>.</w:t>
      </w:r>
    </w:p>
    <w:p w14:paraId="222237E7" w14:textId="77777777" w:rsidR="00502523" w:rsidRDefault="00502523" w:rsidP="005749B2">
      <w:pPr>
        <w:jc w:val="both"/>
        <w:rPr>
          <w:rFonts w:ascii="Arial Narrow" w:hAnsi="Arial Narrow"/>
        </w:rPr>
      </w:pPr>
    </w:p>
    <w:p w14:paraId="15C76546" w14:textId="77777777" w:rsidR="005749B2" w:rsidRDefault="005749B2" w:rsidP="005749B2">
      <w:pPr>
        <w:jc w:val="both"/>
        <w:rPr>
          <w:rFonts w:ascii="Arial Narrow" w:hAnsi="Arial Narrow"/>
        </w:rPr>
        <w:sectPr w:rsidR="005749B2">
          <w:headerReference w:type="default" r:id="rId9"/>
          <w:pgSz w:w="11906" w:h="16838"/>
          <w:pgMar w:top="1440" w:right="1440" w:bottom="1440" w:left="1440" w:header="708" w:footer="708" w:gutter="0"/>
          <w:cols w:space="708"/>
          <w:docGrid w:linePitch="360"/>
        </w:sectPr>
      </w:pPr>
      <w:r>
        <w:rPr>
          <w:rFonts w:ascii="Arial Narrow" w:hAnsi="Arial Narrow"/>
        </w:rPr>
        <w:t>.</w:t>
      </w:r>
    </w:p>
    <w:p w14:paraId="1D84E56E" w14:textId="77777777" w:rsidR="00557391" w:rsidRPr="005749B2" w:rsidRDefault="00640412" w:rsidP="00557391">
      <w:pPr>
        <w:jc w:val="both"/>
        <w:rPr>
          <w:rFonts w:ascii="Arial Narrow" w:hAnsi="Arial Narrow"/>
          <w:b/>
        </w:rPr>
      </w:pPr>
      <w:r w:rsidRPr="005749B2">
        <w:rPr>
          <w:rFonts w:ascii="Arial Narrow" w:hAnsi="Arial Narrow"/>
          <w:b/>
        </w:rPr>
        <w:t>SUIVI BUDGETAIRE DU PROJET PAGER APPUI AUX POLITIQUES ET STRATEGIE NATIONALES</w:t>
      </w:r>
    </w:p>
    <w:p w14:paraId="0E626CE1" w14:textId="77777777" w:rsidR="00640412" w:rsidRDefault="00640412" w:rsidP="00557391">
      <w:pPr>
        <w:jc w:val="both"/>
        <w:rPr>
          <w:rFonts w:ascii="Arial Narrow" w:hAnsi="Arial Narrow"/>
        </w:rPr>
      </w:pPr>
      <w:r w:rsidRPr="00640412">
        <w:rPr>
          <w:rFonts w:ascii="Arial Narrow" w:hAnsi="Arial Narrow"/>
        </w:rPr>
        <w:t>1US</w:t>
      </w:r>
      <w:r w:rsidR="00FE7BF2">
        <w:rPr>
          <w:rFonts w:ascii="Arial Narrow" w:hAnsi="Arial Narrow"/>
        </w:rPr>
        <w:t>D</w:t>
      </w:r>
      <w:r w:rsidRPr="00640412">
        <w:rPr>
          <w:rFonts w:ascii="Arial Narrow" w:hAnsi="Arial Narrow"/>
        </w:rPr>
        <w:t>=594,218 FCFA</w:t>
      </w:r>
      <w:r>
        <w:rPr>
          <w:rFonts w:ascii="Arial Narrow" w:hAnsi="Arial Narrow"/>
        </w:rPr>
        <w:t xml:space="preserve"> </w:t>
      </w:r>
    </w:p>
    <w:tbl>
      <w:tblPr>
        <w:tblW w:w="5000" w:type="pct"/>
        <w:tblLook w:val="04A0" w:firstRow="1" w:lastRow="0" w:firstColumn="1" w:lastColumn="0" w:noHBand="0" w:noVBand="1"/>
      </w:tblPr>
      <w:tblGrid>
        <w:gridCol w:w="1369"/>
        <w:gridCol w:w="2112"/>
        <w:gridCol w:w="1179"/>
        <w:gridCol w:w="1119"/>
        <w:gridCol w:w="1019"/>
        <w:gridCol w:w="869"/>
        <w:gridCol w:w="1119"/>
        <w:gridCol w:w="1019"/>
        <w:gridCol w:w="588"/>
        <w:gridCol w:w="1455"/>
        <w:gridCol w:w="1119"/>
        <w:gridCol w:w="971"/>
      </w:tblGrid>
      <w:tr w:rsidR="00640412" w:rsidRPr="005749B2" w14:paraId="62C2A774" w14:textId="77777777" w:rsidTr="005749B2">
        <w:trPr>
          <w:trHeight w:val="1020"/>
        </w:trPr>
        <w:tc>
          <w:tcPr>
            <w:tcW w:w="412" w:type="pct"/>
            <w:tcBorders>
              <w:top w:val="single" w:sz="8" w:space="0" w:color="auto"/>
              <w:left w:val="single" w:sz="8" w:space="0" w:color="auto"/>
              <w:bottom w:val="single" w:sz="8" w:space="0" w:color="auto"/>
              <w:right w:val="single" w:sz="4" w:space="0" w:color="auto"/>
            </w:tcBorders>
            <w:shd w:val="clear" w:color="000000" w:fill="FFFFFF"/>
            <w:vAlign w:val="center"/>
            <w:hideMark/>
          </w:tcPr>
          <w:p w14:paraId="70F7A4E3"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PROJET PAGER</w:t>
            </w:r>
          </w:p>
        </w:tc>
        <w:tc>
          <w:tcPr>
            <w:tcW w:w="1488" w:type="pct"/>
            <w:tcBorders>
              <w:top w:val="single" w:sz="8" w:space="0" w:color="auto"/>
              <w:left w:val="nil"/>
              <w:bottom w:val="single" w:sz="8" w:space="0" w:color="auto"/>
              <w:right w:val="single" w:sz="4" w:space="0" w:color="auto"/>
            </w:tcBorders>
            <w:shd w:val="clear" w:color="000000" w:fill="FFFFFF"/>
            <w:vAlign w:val="bottom"/>
            <w:hideMark/>
          </w:tcPr>
          <w:p w14:paraId="677D9EA9"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ACTIVITES</w:t>
            </w:r>
          </w:p>
        </w:tc>
        <w:tc>
          <w:tcPr>
            <w:tcW w:w="354" w:type="pct"/>
            <w:tcBorders>
              <w:top w:val="single" w:sz="8" w:space="0" w:color="auto"/>
              <w:left w:val="nil"/>
              <w:bottom w:val="single" w:sz="8" w:space="0" w:color="auto"/>
              <w:right w:val="single" w:sz="4" w:space="0" w:color="auto"/>
            </w:tcBorders>
            <w:shd w:val="clear" w:color="000000" w:fill="FFFFFF"/>
            <w:vAlign w:val="bottom"/>
            <w:hideMark/>
          </w:tcPr>
          <w:p w14:paraId="593C9F85"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 xml:space="preserve">Comptes Budgétaires </w:t>
            </w:r>
          </w:p>
        </w:tc>
        <w:tc>
          <w:tcPr>
            <w:tcW w:w="296" w:type="pct"/>
            <w:tcBorders>
              <w:top w:val="single" w:sz="8" w:space="0" w:color="auto"/>
              <w:left w:val="nil"/>
              <w:bottom w:val="single" w:sz="8" w:space="0" w:color="auto"/>
              <w:right w:val="single" w:sz="4" w:space="0" w:color="auto"/>
            </w:tcBorders>
            <w:shd w:val="clear" w:color="000000" w:fill="FFFFFF"/>
            <w:vAlign w:val="bottom"/>
            <w:hideMark/>
          </w:tcPr>
          <w:p w14:paraId="05C0A143"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Prévision pour 2020 en FCFA</w:t>
            </w:r>
          </w:p>
        </w:tc>
        <w:tc>
          <w:tcPr>
            <w:tcW w:w="279" w:type="pct"/>
            <w:tcBorders>
              <w:top w:val="single" w:sz="8" w:space="0" w:color="auto"/>
              <w:left w:val="nil"/>
              <w:bottom w:val="single" w:sz="8" w:space="0" w:color="auto"/>
              <w:right w:val="single" w:sz="4" w:space="0" w:color="auto"/>
            </w:tcBorders>
            <w:shd w:val="clear" w:color="000000" w:fill="FFFFFF"/>
            <w:vAlign w:val="bottom"/>
            <w:hideMark/>
          </w:tcPr>
          <w:p w14:paraId="49F7490D"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Avril</w:t>
            </w:r>
          </w:p>
        </w:tc>
        <w:tc>
          <w:tcPr>
            <w:tcW w:w="263" w:type="pct"/>
            <w:tcBorders>
              <w:top w:val="single" w:sz="8" w:space="0" w:color="auto"/>
              <w:left w:val="nil"/>
              <w:bottom w:val="single" w:sz="8" w:space="0" w:color="auto"/>
              <w:right w:val="single" w:sz="4" w:space="0" w:color="auto"/>
            </w:tcBorders>
            <w:shd w:val="clear" w:color="000000" w:fill="FFFFFF"/>
            <w:vAlign w:val="bottom"/>
            <w:hideMark/>
          </w:tcPr>
          <w:p w14:paraId="2EBA5D07"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Mai</w:t>
            </w:r>
          </w:p>
        </w:tc>
        <w:tc>
          <w:tcPr>
            <w:tcW w:w="296" w:type="pct"/>
            <w:tcBorders>
              <w:top w:val="single" w:sz="8" w:space="0" w:color="auto"/>
              <w:left w:val="nil"/>
              <w:bottom w:val="single" w:sz="8" w:space="0" w:color="auto"/>
              <w:right w:val="single" w:sz="4" w:space="0" w:color="auto"/>
            </w:tcBorders>
            <w:shd w:val="clear" w:color="000000" w:fill="FFFFFF"/>
            <w:vAlign w:val="bottom"/>
            <w:hideMark/>
          </w:tcPr>
          <w:p w14:paraId="3E8F9F33"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Juin</w:t>
            </w:r>
          </w:p>
        </w:tc>
        <w:tc>
          <w:tcPr>
            <w:tcW w:w="279" w:type="pct"/>
            <w:tcBorders>
              <w:top w:val="single" w:sz="8" w:space="0" w:color="auto"/>
              <w:left w:val="nil"/>
              <w:bottom w:val="single" w:sz="8" w:space="0" w:color="auto"/>
              <w:right w:val="single" w:sz="4" w:space="0" w:color="auto"/>
            </w:tcBorders>
            <w:shd w:val="clear" w:color="000000" w:fill="FFFFFF"/>
            <w:vAlign w:val="bottom"/>
            <w:hideMark/>
          </w:tcPr>
          <w:p w14:paraId="26DB3036"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Juillet</w:t>
            </w:r>
          </w:p>
        </w:tc>
        <w:tc>
          <w:tcPr>
            <w:tcW w:w="279" w:type="pct"/>
            <w:tcBorders>
              <w:top w:val="single" w:sz="8" w:space="0" w:color="auto"/>
              <w:left w:val="nil"/>
              <w:bottom w:val="single" w:sz="8" w:space="0" w:color="auto"/>
              <w:right w:val="single" w:sz="4" w:space="0" w:color="auto"/>
            </w:tcBorders>
            <w:shd w:val="clear" w:color="000000" w:fill="FFFFFF"/>
            <w:vAlign w:val="bottom"/>
            <w:hideMark/>
          </w:tcPr>
          <w:p w14:paraId="41D54270"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Août</w:t>
            </w:r>
          </w:p>
        </w:tc>
        <w:tc>
          <w:tcPr>
            <w:tcW w:w="438" w:type="pct"/>
            <w:tcBorders>
              <w:top w:val="single" w:sz="8" w:space="0" w:color="auto"/>
              <w:left w:val="nil"/>
              <w:bottom w:val="single" w:sz="8" w:space="0" w:color="auto"/>
              <w:right w:val="single" w:sz="4" w:space="0" w:color="auto"/>
            </w:tcBorders>
            <w:shd w:val="clear" w:color="000000" w:fill="FFFFFF"/>
            <w:vAlign w:val="bottom"/>
            <w:hideMark/>
          </w:tcPr>
          <w:p w14:paraId="2D628CB8"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Dépenses totales/l'avance</w:t>
            </w:r>
          </w:p>
        </w:tc>
        <w:tc>
          <w:tcPr>
            <w:tcW w:w="324" w:type="pct"/>
            <w:tcBorders>
              <w:top w:val="single" w:sz="8" w:space="0" w:color="auto"/>
              <w:left w:val="nil"/>
              <w:bottom w:val="single" w:sz="8" w:space="0" w:color="auto"/>
              <w:right w:val="single" w:sz="4" w:space="0" w:color="auto"/>
            </w:tcBorders>
            <w:shd w:val="clear" w:color="000000" w:fill="FFFFFF"/>
            <w:vAlign w:val="bottom"/>
            <w:hideMark/>
          </w:tcPr>
          <w:p w14:paraId="38BD3401"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Restants sur les lignes</w:t>
            </w:r>
          </w:p>
        </w:tc>
        <w:tc>
          <w:tcPr>
            <w:tcW w:w="291" w:type="pct"/>
            <w:tcBorders>
              <w:top w:val="single" w:sz="8" w:space="0" w:color="auto"/>
              <w:left w:val="nil"/>
              <w:bottom w:val="single" w:sz="8" w:space="0" w:color="auto"/>
              <w:right w:val="single" w:sz="8" w:space="0" w:color="auto"/>
            </w:tcBorders>
            <w:shd w:val="clear" w:color="000000" w:fill="FFFFFF"/>
            <w:vAlign w:val="bottom"/>
            <w:hideMark/>
          </w:tcPr>
          <w:p w14:paraId="4D80D6F1"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Taux d'exécut°</w:t>
            </w:r>
          </w:p>
        </w:tc>
      </w:tr>
      <w:tr w:rsidR="005749B2" w:rsidRPr="005749B2" w14:paraId="00BF9888" w14:textId="77777777" w:rsidTr="005749B2">
        <w:trPr>
          <w:trHeight w:val="1305"/>
        </w:trPr>
        <w:tc>
          <w:tcPr>
            <w:tcW w:w="412" w:type="pct"/>
            <w:vMerge w:val="restart"/>
            <w:tcBorders>
              <w:top w:val="nil"/>
              <w:left w:val="single" w:sz="8" w:space="0" w:color="auto"/>
              <w:bottom w:val="single" w:sz="8" w:space="0" w:color="000000"/>
              <w:right w:val="single" w:sz="4" w:space="0" w:color="auto"/>
            </w:tcBorders>
            <w:shd w:val="clear" w:color="000000" w:fill="FFFF00"/>
            <w:vAlign w:val="center"/>
            <w:hideMark/>
          </w:tcPr>
          <w:p w14:paraId="609EE70E"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PAGER/CSLP</w:t>
            </w:r>
          </w:p>
        </w:tc>
        <w:tc>
          <w:tcPr>
            <w:tcW w:w="1488" w:type="pct"/>
            <w:tcBorders>
              <w:top w:val="nil"/>
              <w:left w:val="nil"/>
              <w:bottom w:val="single" w:sz="4" w:space="0" w:color="auto"/>
              <w:right w:val="single" w:sz="4" w:space="0" w:color="auto"/>
            </w:tcBorders>
            <w:shd w:val="clear" w:color="auto" w:fill="auto"/>
            <w:vAlign w:val="bottom"/>
            <w:hideMark/>
          </w:tcPr>
          <w:p w14:paraId="4B12DCBA"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b/>
                <w:bCs/>
                <w:color w:val="000000"/>
                <w:u w:val="single"/>
              </w:rPr>
              <w:t>Activité 1</w:t>
            </w:r>
            <w:r w:rsidRPr="00640412">
              <w:rPr>
                <w:rFonts w:ascii="Arial Narrow" w:eastAsia="Times New Roman" w:hAnsi="Arial Narrow" w:cs="Calibri"/>
                <w:color w:val="000000"/>
              </w:rPr>
              <w:t>: Appuyer l’organisation de la revue du CREDD et des ODD (Lancement du processus des revues, validation du Cadre de Mesure de performance et du Cadre de résultats, appui aux revues sectorielles)</w:t>
            </w:r>
          </w:p>
        </w:tc>
        <w:tc>
          <w:tcPr>
            <w:tcW w:w="354" w:type="pct"/>
            <w:tcBorders>
              <w:top w:val="nil"/>
              <w:left w:val="nil"/>
              <w:bottom w:val="single" w:sz="4" w:space="0" w:color="auto"/>
              <w:right w:val="single" w:sz="4" w:space="0" w:color="auto"/>
            </w:tcBorders>
            <w:shd w:val="clear" w:color="auto" w:fill="auto"/>
            <w:vAlign w:val="bottom"/>
            <w:hideMark/>
          </w:tcPr>
          <w:p w14:paraId="2DAAA0D7"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72 100</w:t>
            </w:r>
          </w:p>
        </w:tc>
        <w:tc>
          <w:tcPr>
            <w:tcW w:w="296" w:type="pct"/>
            <w:tcBorders>
              <w:top w:val="nil"/>
              <w:left w:val="nil"/>
              <w:bottom w:val="single" w:sz="4" w:space="0" w:color="auto"/>
              <w:right w:val="single" w:sz="4" w:space="0" w:color="auto"/>
            </w:tcBorders>
            <w:shd w:val="clear" w:color="auto" w:fill="auto"/>
            <w:vAlign w:val="bottom"/>
            <w:hideMark/>
          </w:tcPr>
          <w:p w14:paraId="05E926B6"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34 959 627</w:t>
            </w:r>
          </w:p>
        </w:tc>
        <w:tc>
          <w:tcPr>
            <w:tcW w:w="279" w:type="pct"/>
            <w:tcBorders>
              <w:top w:val="nil"/>
              <w:left w:val="nil"/>
              <w:bottom w:val="single" w:sz="4" w:space="0" w:color="auto"/>
              <w:right w:val="single" w:sz="4" w:space="0" w:color="auto"/>
            </w:tcBorders>
            <w:shd w:val="clear" w:color="auto" w:fill="auto"/>
            <w:vAlign w:val="bottom"/>
            <w:hideMark/>
          </w:tcPr>
          <w:p w14:paraId="5C7EB5FC"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 </w:t>
            </w:r>
          </w:p>
        </w:tc>
        <w:tc>
          <w:tcPr>
            <w:tcW w:w="263" w:type="pct"/>
            <w:tcBorders>
              <w:top w:val="nil"/>
              <w:left w:val="nil"/>
              <w:bottom w:val="single" w:sz="4" w:space="0" w:color="auto"/>
              <w:right w:val="single" w:sz="4" w:space="0" w:color="auto"/>
            </w:tcBorders>
            <w:shd w:val="clear" w:color="auto" w:fill="auto"/>
            <w:vAlign w:val="bottom"/>
            <w:hideMark/>
          </w:tcPr>
          <w:p w14:paraId="04186249"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 </w:t>
            </w:r>
          </w:p>
        </w:tc>
        <w:tc>
          <w:tcPr>
            <w:tcW w:w="296" w:type="pct"/>
            <w:tcBorders>
              <w:top w:val="nil"/>
              <w:left w:val="nil"/>
              <w:bottom w:val="single" w:sz="4" w:space="0" w:color="auto"/>
              <w:right w:val="single" w:sz="4" w:space="0" w:color="auto"/>
            </w:tcBorders>
            <w:shd w:val="clear" w:color="auto" w:fill="auto"/>
            <w:vAlign w:val="bottom"/>
            <w:hideMark/>
          </w:tcPr>
          <w:p w14:paraId="367F46EA"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18 100 000</w:t>
            </w:r>
          </w:p>
        </w:tc>
        <w:tc>
          <w:tcPr>
            <w:tcW w:w="279" w:type="pct"/>
            <w:tcBorders>
              <w:top w:val="nil"/>
              <w:left w:val="nil"/>
              <w:bottom w:val="single" w:sz="4" w:space="0" w:color="auto"/>
              <w:right w:val="single" w:sz="4" w:space="0" w:color="auto"/>
            </w:tcBorders>
            <w:shd w:val="clear" w:color="000000" w:fill="FFFFFF"/>
            <w:vAlign w:val="bottom"/>
            <w:hideMark/>
          </w:tcPr>
          <w:p w14:paraId="4BD041EB"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2 015 000</w:t>
            </w:r>
          </w:p>
        </w:tc>
        <w:tc>
          <w:tcPr>
            <w:tcW w:w="279" w:type="pct"/>
            <w:tcBorders>
              <w:top w:val="nil"/>
              <w:left w:val="nil"/>
              <w:bottom w:val="single" w:sz="4" w:space="0" w:color="auto"/>
              <w:right w:val="single" w:sz="4" w:space="0" w:color="auto"/>
            </w:tcBorders>
            <w:shd w:val="clear" w:color="000000" w:fill="FFFFFF"/>
            <w:vAlign w:val="bottom"/>
            <w:hideMark/>
          </w:tcPr>
          <w:p w14:paraId="0F7DB615"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 </w:t>
            </w:r>
          </w:p>
        </w:tc>
        <w:tc>
          <w:tcPr>
            <w:tcW w:w="438" w:type="pct"/>
            <w:tcBorders>
              <w:top w:val="nil"/>
              <w:left w:val="nil"/>
              <w:bottom w:val="single" w:sz="4" w:space="0" w:color="auto"/>
              <w:right w:val="single" w:sz="4" w:space="0" w:color="auto"/>
            </w:tcBorders>
            <w:shd w:val="clear" w:color="auto" w:fill="auto"/>
            <w:vAlign w:val="bottom"/>
            <w:hideMark/>
          </w:tcPr>
          <w:p w14:paraId="64BEF1B5"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20 115 000</w:t>
            </w:r>
          </w:p>
        </w:tc>
        <w:tc>
          <w:tcPr>
            <w:tcW w:w="324" w:type="pct"/>
            <w:tcBorders>
              <w:top w:val="nil"/>
              <w:left w:val="nil"/>
              <w:bottom w:val="single" w:sz="4" w:space="0" w:color="auto"/>
              <w:right w:val="single" w:sz="4" w:space="0" w:color="auto"/>
            </w:tcBorders>
            <w:shd w:val="clear" w:color="auto" w:fill="auto"/>
            <w:noWrap/>
            <w:vAlign w:val="bottom"/>
            <w:hideMark/>
          </w:tcPr>
          <w:p w14:paraId="0C4BA1CC"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14 844 627</w:t>
            </w:r>
          </w:p>
        </w:tc>
        <w:tc>
          <w:tcPr>
            <w:tcW w:w="291" w:type="pct"/>
            <w:tcBorders>
              <w:top w:val="nil"/>
              <w:left w:val="nil"/>
              <w:bottom w:val="single" w:sz="4" w:space="0" w:color="auto"/>
              <w:right w:val="single" w:sz="8" w:space="0" w:color="auto"/>
            </w:tcBorders>
            <w:shd w:val="clear" w:color="auto" w:fill="auto"/>
            <w:noWrap/>
            <w:vAlign w:val="bottom"/>
            <w:hideMark/>
          </w:tcPr>
          <w:p w14:paraId="4C8AB7F2" w14:textId="77777777" w:rsidR="00640412" w:rsidRPr="00640412" w:rsidRDefault="00640412" w:rsidP="00640412">
            <w:pPr>
              <w:spacing w:after="0" w:line="240" w:lineRule="auto"/>
              <w:jc w:val="right"/>
              <w:rPr>
                <w:rFonts w:ascii="Arial Narrow" w:eastAsia="Times New Roman" w:hAnsi="Arial Narrow" w:cs="Calibri"/>
                <w:b/>
                <w:bCs/>
                <w:color w:val="000000"/>
              </w:rPr>
            </w:pPr>
            <w:r w:rsidRPr="00640412">
              <w:rPr>
                <w:rFonts w:ascii="Arial Narrow" w:eastAsia="Times New Roman" w:hAnsi="Arial Narrow" w:cs="Calibri"/>
                <w:b/>
                <w:bCs/>
                <w:color w:val="000000"/>
              </w:rPr>
              <w:t>58%</w:t>
            </w:r>
          </w:p>
        </w:tc>
      </w:tr>
      <w:tr w:rsidR="00640412" w:rsidRPr="005749B2" w14:paraId="08AD0F09" w14:textId="77777777" w:rsidTr="005749B2">
        <w:trPr>
          <w:trHeight w:val="660"/>
        </w:trPr>
        <w:tc>
          <w:tcPr>
            <w:tcW w:w="412" w:type="pct"/>
            <w:vMerge/>
            <w:tcBorders>
              <w:top w:val="nil"/>
              <w:left w:val="single" w:sz="8" w:space="0" w:color="auto"/>
              <w:bottom w:val="single" w:sz="8" w:space="0" w:color="000000"/>
              <w:right w:val="single" w:sz="4" w:space="0" w:color="auto"/>
            </w:tcBorders>
            <w:vAlign w:val="center"/>
            <w:hideMark/>
          </w:tcPr>
          <w:p w14:paraId="514B562C" w14:textId="77777777" w:rsidR="00640412" w:rsidRPr="00640412" w:rsidRDefault="00640412" w:rsidP="00640412">
            <w:pPr>
              <w:spacing w:after="0" w:line="240" w:lineRule="auto"/>
              <w:rPr>
                <w:rFonts w:ascii="Arial Narrow" w:eastAsia="Times New Roman" w:hAnsi="Arial Narrow" w:cs="Calibri"/>
                <w:color w:val="000000"/>
              </w:rPr>
            </w:pPr>
          </w:p>
        </w:tc>
        <w:tc>
          <w:tcPr>
            <w:tcW w:w="1488" w:type="pct"/>
            <w:tcBorders>
              <w:top w:val="nil"/>
              <w:left w:val="nil"/>
              <w:bottom w:val="single" w:sz="8" w:space="0" w:color="auto"/>
              <w:right w:val="single" w:sz="4" w:space="0" w:color="auto"/>
            </w:tcBorders>
            <w:shd w:val="clear" w:color="000000" w:fill="FFFFFF"/>
            <w:vAlign w:val="bottom"/>
            <w:hideMark/>
          </w:tcPr>
          <w:p w14:paraId="5235BBBD"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b/>
                <w:bCs/>
                <w:color w:val="000000"/>
                <w:u w:val="single"/>
              </w:rPr>
              <w:t>Activité 2:</w:t>
            </w:r>
            <w:r w:rsidRPr="00640412">
              <w:rPr>
                <w:rFonts w:ascii="Arial Narrow" w:eastAsia="Times New Roman" w:hAnsi="Arial Narrow" w:cs="Calibri"/>
                <w:color w:val="000000"/>
              </w:rPr>
              <w:t xml:space="preserve"> Fonctionnement (Salaires gestionnaire, coordination et suivi des activités du Comité technique)</w:t>
            </w:r>
          </w:p>
        </w:tc>
        <w:tc>
          <w:tcPr>
            <w:tcW w:w="354" w:type="pct"/>
            <w:tcBorders>
              <w:top w:val="nil"/>
              <w:left w:val="nil"/>
              <w:bottom w:val="single" w:sz="8" w:space="0" w:color="auto"/>
              <w:right w:val="single" w:sz="4" w:space="0" w:color="auto"/>
            </w:tcBorders>
            <w:shd w:val="clear" w:color="000000" w:fill="FFFFFF"/>
            <w:vAlign w:val="bottom"/>
            <w:hideMark/>
          </w:tcPr>
          <w:p w14:paraId="72701A39"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71 405</w:t>
            </w:r>
          </w:p>
        </w:tc>
        <w:tc>
          <w:tcPr>
            <w:tcW w:w="296" w:type="pct"/>
            <w:tcBorders>
              <w:top w:val="nil"/>
              <w:left w:val="nil"/>
              <w:bottom w:val="single" w:sz="8" w:space="0" w:color="auto"/>
              <w:right w:val="single" w:sz="4" w:space="0" w:color="auto"/>
            </w:tcBorders>
            <w:shd w:val="clear" w:color="000000" w:fill="FFFFFF"/>
            <w:vAlign w:val="bottom"/>
            <w:hideMark/>
          </w:tcPr>
          <w:p w14:paraId="51AAF15F"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8 641 118</w:t>
            </w:r>
          </w:p>
        </w:tc>
        <w:tc>
          <w:tcPr>
            <w:tcW w:w="279" w:type="pct"/>
            <w:tcBorders>
              <w:top w:val="nil"/>
              <w:left w:val="nil"/>
              <w:bottom w:val="single" w:sz="8" w:space="0" w:color="auto"/>
              <w:right w:val="single" w:sz="4" w:space="0" w:color="auto"/>
            </w:tcBorders>
            <w:shd w:val="clear" w:color="000000" w:fill="FFFFFF"/>
            <w:vAlign w:val="bottom"/>
            <w:hideMark/>
          </w:tcPr>
          <w:p w14:paraId="25FA9C4F"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4 170 872</w:t>
            </w:r>
          </w:p>
        </w:tc>
        <w:tc>
          <w:tcPr>
            <w:tcW w:w="263" w:type="pct"/>
            <w:tcBorders>
              <w:top w:val="nil"/>
              <w:left w:val="nil"/>
              <w:bottom w:val="single" w:sz="8" w:space="0" w:color="auto"/>
              <w:right w:val="single" w:sz="4" w:space="0" w:color="auto"/>
            </w:tcBorders>
            <w:shd w:val="clear" w:color="000000" w:fill="FFFFFF"/>
            <w:vAlign w:val="bottom"/>
            <w:hideMark/>
          </w:tcPr>
          <w:p w14:paraId="1A4B5187"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826 707</w:t>
            </w:r>
          </w:p>
        </w:tc>
        <w:tc>
          <w:tcPr>
            <w:tcW w:w="296" w:type="pct"/>
            <w:tcBorders>
              <w:top w:val="nil"/>
              <w:left w:val="nil"/>
              <w:bottom w:val="single" w:sz="8" w:space="0" w:color="auto"/>
              <w:right w:val="single" w:sz="4" w:space="0" w:color="auto"/>
            </w:tcBorders>
            <w:shd w:val="clear" w:color="000000" w:fill="FFFFFF"/>
            <w:vAlign w:val="bottom"/>
            <w:hideMark/>
          </w:tcPr>
          <w:p w14:paraId="56835ED1"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1 345 133</w:t>
            </w:r>
          </w:p>
        </w:tc>
        <w:tc>
          <w:tcPr>
            <w:tcW w:w="279" w:type="pct"/>
            <w:tcBorders>
              <w:top w:val="nil"/>
              <w:left w:val="nil"/>
              <w:bottom w:val="single" w:sz="8" w:space="0" w:color="auto"/>
              <w:right w:val="single" w:sz="4" w:space="0" w:color="auto"/>
            </w:tcBorders>
            <w:shd w:val="clear" w:color="000000" w:fill="FFFFFF"/>
            <w:vAlign w:val="bottom"/>
            <w:hideMark/>
          </w:tcPr>
          <w:p w14:paraId="08D9494D"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826 707</w:t>
            </w:r>
          </w:p>
        </w:tc>
        <w:tc>
          <w:tcPr>
            <w:tcW w:w="279" w:type="pct"/>
            <w:tcBorders>
              <w:top w:val="nil"/>
              <w:left w:val="nil"/>
              <w:bottom w:val="single" w:sz="8" w:space="0" w:color="auto"/>
              <w:right w:val="single" w:sz="4" w:space="0" w:color="auto"/>
            </w:tcBorders>
            <w:shd w:val="clear" w:color="000000" w:fill="FFFFFF"/>
            <w:vAlign w:val="bottom"/>
            <w:hideMark/>
          </w:tcPr>
          <w:p w14:paraId="12DDCC7E"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 </w:t>
            </w:r>
          </w:p>
        </w:tc>
        <w:tc>
          <w:tcPr>
            <w:tcW w:w="438" w:type="pct"/>
            <w:tcBorders>
              <w:top w:val="nil"/>
              <w:left w:val="nil"/>
              <w:bottom w:val="single" w:sz="8" w:space="0" w:color="auto"/>
              <w:right w:val="single" w:sz="4" w:space="0" w:color="auto"/>
            </w:tcBorders>
            <w:shd w:val="clear" w:color="auto" w:fill="auto"/>
            <w:vAlign w:val="bottom"/>
            <w:hideMark/>
          </w:tcPr>
          <w:p w14:paraId="61FAB61E"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7 169 419</w:t>
            </w:r>
          </w:p>
        </w:tc>
        <w:tc>
          <w:tcPr>
            <w:tcW w:w="324" w:type="pct"/>
            <w:tcBorders>
              <w:top w:val="nil"/>
              <w:left w:val="nil"/>
              <w:bottom w:val="single" w:sz="8" w:space="0" w:color="auto"/>
              <w:right w:val="single" w:sz="4" w:space="0" w:color="auto"/>
            </w:tcBorders>
            <w:shd w:val="clear" w:color="auto" w:fill="auto"/>
            <w:noWrap/>
            <w:vAlign w:val="bottom"/>
            <w:hideMark/>
          </w:tcPr>
          <w:p w14:paraId="6A298D83" w14:textId="77777777" w:rsidR="00640412" w:rsidRPr="00640412" w:rsidRDefault="00640412" w:rsidP="00640412">
            <w:pPr>
              <w:spacing w:after="0" w:line="240" w:lineRule="auto"/>
              <w:jc w:val="center"/>
              <w:rPr>
                <w:rFonts w:ascii="Arial Narrow" w:eastAsia="Times New Roman" w:hAnsi="Arial Narrow" w:cs="Calibri"/>
                <w:color w:val="000000"/>
              </w:rPr>
            </w:pPr>
            <w:r w:rsidRPr="00640412">
              <w:rPr>
                <w:rFonts w:ascii="Arial Narrow" w:eastAsia="Times New Roman" w:hAnsi="Arial Narrow" w:cs="Calibri"/>
                <w:color w:val="000000"/>
              </w:rPr>
              <w:t>1 471 699</w:t>
            </w:r>
          </w:p>
        </w:tc>
        <w:tc>
          <w:tcPr>
            <w:tcW w:w="291" w:type="pct"/>
            <w:tcBorders>
              <w:top w:val="nil"/>
              <w:left w:val="nil"/>
              <w:bottom w:val="single" w:sz="8" w:space="0" w:color="auto"/>
              <w:right w:val="single" w:sz="8" w:space="0" w:color="auto"/>
            </w:tcBorders>
            <w:shd w:val="clear" w:color="auto" w:fill="auto"/>
            <w:noWrap/>
            <w:vAlign w:val="bottom"/>
            <w:hideMark/>
          </w:tcPr>
          <w:p w14:paraId="5726DB04" w14:textId="77777777" w:rsidR="00640412" w:rsidRPr="00640412" w:rsidRDefault="00640412" w:rsidP="00640412">
            <w:pPr>
              <w:spacing w:after="0" w:line="240" w:lineRule="auto"/>
              <w:jc w:val="right"/>
              <w:rPr>
                <w:rFonts w:ascii="Arial Narrow" w:eastAsia="Times New Roman" w:hAnsi="Arial Narrow" w:cs="Calibri"/>
                <w:b/>
                <w:bCs/>
                <w:color w:val="000000"/>
              </w:rPr>
            </w:pPr>
            <w:r w:rsidRPr="00640412">
              <w:rPr>
                <w:rFonts w:ascii="Arial Narrow" w:eastAsia="Times New Roman" w:hAnsi="Arial Narrow" w:cs="Calibri"/>
                <w:b/>
                <w:bCs/>
                <w:color w:val="000000"/>
              </w:rPr>
              <w:t>83%</w:t>
            </w:r>
          </w:p>
        </w:tc>
      </w:tr>
      <w:tr w:rsidR="005749B2" w:rsidRPr="005749B2" w14:paraId="01D2A268" w14:textId="77777777" w:rsidTr="005749B2">
        <w:trPr>
          <w:trHeight w:val="825"/>
        </w:trPr>
        <w:tc>
          <w:tcPr>
            <w:tcW w:w="1900" w:type="pct"/>
            <w:gridSpan w:val="2"/>
            <w:tcBorders>
              <w:top w:val="single" w:sz="8" w:space="0" w:color="auto"/>
              <w:left w:val="single" w:sz="8" w:space="0" w:color="auto"/>
              <w:bottom w:val="single" w:sz="8" w:space="0" w:color="auto"/>
              <w:right w:val="single" w:sz="4" w:space="0" w:color="000000"/>
            </w:tcBorders>
            <w:shd w:val="clear" w:color="000000" w:fill="FFC000"/>
            <w:noWrap/>
            <w:vAlign w:val="bottom"/>
            <w:hideMark/>
          </w:tcPr>
          <w:p w14:paraId="722672EE"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 xml:space="preserve">TOTAL </w:t>
            </w:r>
          </w:p>
        </w:tc>
        <w:tc>
          <w:tcPr>
            <w:tcW w:w="354" w:type="pct"/>
            <w:tcBorders>
              <w:top w:val="nil"/>
              <w:left w:val="nil"/>
              <w:bottom w:val="single" w:sz="8" w:space="0" w:color="auto"/>
              <w:right w:val="single" w:sz="4" w:space="0" w:color="auto"/>
            </w:tcBorders>
            <w:shd w:val="clear" w:color="000000" w:fill="FFC000"/>
            <w:noWrap/>
            <w:vAlign w:val="bottom"/>
            <w:hideMark/>
          </w:tcPr>
          <w:p w14:paraId="48140A2C" w14:textId="77777777" w:rsidR="00640412" w:rsidRPr="00640412" w:rsidRDefault="00640412" w:rsidP="00640412">
            <w:pPr>
              <w:spacing w:after="0" w:line="240" w:lineRule="auto"/>
              <w:rPr>
                <w:rFonts w:ascii="Arial Narrow" w:eastAsia="Times New Roman" w:hAnsi="Arial Narrow" w:cs="Calibri"/>
                <w:color w:val="000000"/>
              </w:rPr>
            </w:pPr>
            <w:r w:rsidRPr="00640412">
              <w:rPr>
                <w:rFonts w:ascii="Arial Narrow" w:eastAsia="Times New Roman" w:hAnsi="Arial Narrow" w:cs="Calibri"/>
                <w:color w:val="000000"/>
              </w:rPr>
              <w:t> </w:t>
            </w:r>
          </w:p>
        </w:tc>
        <w:tc>
          <w:tcPr>
            <w:tcW w:w="296" w:type="pct"/>
            <w:tcBorders>
              <w:top w:val="nil"/>
              <w:left w:val="nil"/>
              <w:bottom w:val="single" w:sz="8" w:space="0" w:color="auto"/>
              <w:right w:val="single" w:sz="4" w:space="0" w:color="auto"/>
            </w:tcBorders>
            <w:shd w:val="clear" w:color="000000" w:fill="FFC000"/>
            <w:noWrap/>
            <w:vAlign w:val="bottom"/>
            <w:hideMark/>
          </w:tcPr>
          <w:p w14:paraId="43D7219C"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43 600 745</w:t>
            </w:r>
          </w:p>
        </w:tc>
        <w:tc>
          <w:tcPr>
            <w:tcW w:w="279" w:type="pct"/>
            <w:tcBorders>
              <w:top w:val="nil"/>
              <w:left w:val="nil"/>
              <w:bottom w:val="single" w:sz="8" w:space="0" w:color="auto"/>
              <w:right w:val="single" w:sz="4" w:space="0" w:color="auto"/>
            </w:tcBorders>
            <w:shd w:val="clear" w:color="000000" w:fill="FFC000"/>
            <w:noWrap/>
            <w:vAlign w:val="bottom"/>
            <w:hideMark/>
          </w:tcPr>
          <w:p w14:paraId="2F313F88"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4 170 872</w:t>
            </w:r>
          </w:p>
        </w:tc>
        <w:tc>
          <w:tcPr>
            <w:tcW w:w="263" w:type="pct"/>
            <w:tcBorders>
              <w:top w:val="nil"/>
              <w:left w:val="nil"/>
              <w:bottom w:val="single" w:sz="8" w:space="0" w:color="auto"/>
              <w:right w:val="single" w:sz="4" w:space="0" w:color="auto"/>
            </w:tcBorders>
            <w:shd w:val="clear" w:color="000000" w:fill="FFC000"/>
            <w:noWrap/>
            <w:vAlign w:val="bottom"/>
            <w:hideMark/>
          </w:tcPr>
          <w:p w14:paraId="0F5F006D"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826 707</w:t>
            </w:r>
          </w:p>
        </w:tc>
        <w:tc>
          <w:tcPr>
            <w:tcW w:w="296" w:type="pct"/>
            <w:tcBorders>
              <w:top w:val="nil"/>
              <w:left w:val="nil"/>
              <w:bottom w:val="single" w:sz="8" w:space="0" w:color="auto"/>
              <w:right w:val="single" w:sz="4" w:space="0" w:color="auto"/>
            </w:tcBorders>
            <w:shd w:val="clear" w:color="000000" w:fill="FFC000"/>
            <w:noWrap/>
            <w:vAlign w:val="bottom"/>
            <w:hideMark/>
          </w:tcPr>
          <w:p w14:paraId="4AA01C08"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19 445 133</w:t>
            </w:r>
          </w:p>
        </w:tc>
        <w:tc>
          <w:tcPr>
            <w:tcW w:w="279" w:type="pct"/>
            <w:tcBorders>
              <w:top w:val="nil"/>
              <w:left w:val="nil"/>
              <w:bottom w:val="single" w:sz="8" w:space="0" w:color="auto"/>
              <w:right w:val="single" w:sz="4" w:space="0" w:color="auto"/>
            </w:tcBorders>
            <w:shd w:val="clear" w:color="000000" w:fill="FFC000"/>
            <w:noWrap/>
            <w:vAlign w:val="bottom"/>
            <w:hideMark/>
          </w:tcPr>
          <w:p w14:paraId="7B602EDA"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2 841 707</w:t>
            </w:r>
          </w:p>
        </w:tc>
        <w:tc>
          <w:tcPr>
            <w:tcW w:w="279" w:type="pct"/>
            <w:tcBorders>
              <w:top w:val="nil"/>
              <w:left w:val="nil"/>
              <w:bottom w:val="single" w:sz="8" w:space="0" w:color="auto"/>
              <w:right w:val="single" w:sz="4" w:space="0" w:color="auto"/>
            </w:tcBorders>
            <w:shd w:val="clear" w:color="000000" w:fill="FFC000"/>
            <w:noWrap/>
            <w:vAlign w:val="bottom"/>
            <w:hideMark/>
          </w:tcPr>
          <w:p w14:paraId="33F25A21"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 </w:t>
            </w:r>
          </w:p>
        </w:tc>
        <w:tc>
          <w:tcPr>
            <w:tcW w:w="438" w:type="pct"/>
            <w:tcBorders>
              <w:top w:val="nil"/>
              <w:left w:val="nil"/>
              <w:bottom w:val="single" w:sz="8" w:space="0" w:color="auto"/>
              <w:right w:val="single" w:sz="4" w:space="0" w:color="auto"/>
            </w:tcBorders>
            <w:shd w:val="clear" w:color="000000" w:fill="FFC000"/>
            <w:noWrap/>
            <w:vAlign w:val="bottom"/>
            <w:hideMark/>
          </w:tcPr>
          <w:p w14:paraId="7378846B"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27 284 419</w:t>
            </w:r>
          </w:p>
        </w:tc>
        <w:tc>
          <w:tcPr>
            <w:tcW w:w="324" w:type="pct"/>
            <w:tcBorders>
              <w:top w:val="nil"/>
              <w:left w:val="nil"/>
              <w:bottom w:val="single" w:sz="8" w:space="0" w:color="auto"/>
              <w:right w:val="single" w:sz="4" w:space="0" w:color="auto"/>
            </w:tcBorders>
            <w:shd w:val="clear" w:color="000000" w:fill="FFC000"/>
            <w:noWrap/>
            <w:vAlign w:val="bottom"/>
            <w:hideMark/>
          </w:tcPr>
          <w:p w14:paraId="717CF44E" w14:textId="77777777" w:rsidR="00640412" w:rsidRPr="00640412" w:rsidRDefault="00640412" w:rsidP="00640412">
            <w:pPr>
              <w:spacing w:after="0" w:line="240" w:lineRule="auto"/>
              <w:jc w:val="center"/>
              <w:rPr>
                <w:rFonts w:ascii="Arial Narrow" w:eastAsia="Times New Roman" w:hAnsi="Arial Narrow" w:cs="Calibri"/>
                <w:b/>
                <w:bCs/>
                <w:color w:val="000000"/>
              </w:rPr>
            </w:pPr>
            <w:r w:rsidRPr="00640412">
              <w:rPr>
                <w:rFonts w:ascii="Arial Narrow" w:eastAsia="Times New Roman" w:hAnsi="Arial Narrow" w:cs="Calibri"/>
                <w:b/>
                <w:bCs/>
                <w:color w:val="000000"/>
              </w:rPr>
              <w:t>16 316 326</w:t>
            </w:r>
          </w:p>
        </w:tc>
        <w:tc>
          <w:tcPr>
            <w:tcW w:w="291" w:type="pct"/>
            <w:tcBorders>
              <w:top w:val="nil"/>
              <w:left w:val="nil"/>
              <w:bottom w:val="single" w:sz="8" w:space="0" w:color="auto"/>
              <w:right w:val="single" w:sz="8" w:space="0" w:color="auto"/>
            </w:tcBorders>
            <w:shd w:val="clear" w:color="auto" w:fill="auto"/>
            <w:noWrap/>
            <w:vAlign w:val="bottom"/>
            <w:hideMark/>
          </w:tcPr>
          <w:p w14:paraId="61B542DA" w14:textId="77777777" w:rsidR="00640412" w:rsidRPr="00640412" w:rsidRDefault="00640412" w:rsidP="00640412">
            <w:pPr>
              <w:spacing w:after="0" w:line="240" w:lineRule="auto"/>
              <w:rPr>
                <w:rFonts w:ascii="Arial Narrow" w:eastAsia="Times New Roman" w:hAnsi="Arial Narrow" w:cs="Calibri"/>
                <w:b/>
                <w:bCs/>
                <w:color w:val="000000"/>
              </w:rPr>
            </w:pPr>
            <w:r w:rsidRPr="00640412">
              <w:rPr>
                <w:rFonts w:ascii="Arial Narrow" w:eastAsia="Times New Roman" w:hAnsi="Arial Narrow" w:cs="Calibri"/>
                <w:b/>
                <w:bCs/>
                <w:color w:val="000000"/>
              </w:rPr>
              <w:t> </w:t>
            </w:r>
          </w:p>
        </w:tc>
      </w:tr>
    </w:tbl>
    <w:p w14:paraId="08AD10E7" w14:textId="77777777" w:rsidR="00640412" w:rsidRPr="00557391" w:rsidRDefault="00640412" w:rsidP="00557391">
      <w:pPr>
        <w:jc w:val="both"/>
        <w:rPr>
          <w:rFonts w:ascii="Arial Narrow" w:hAnsi="Arial Narrow"/>
        </w:rPr>
      </w:pPr>
    </w:p>
    <w:p w14:paraId="726E2C55" w14:textId="77777777" w:rsidR="00645F80" w:rsidRDefault="00645F80" w:rsidP="00645F80">
      <w:pPr>
        <w:rPr>
          <w:rFonts w:ascii="Arial Narrow" w:eastAsia="Calibri" w:hAnsi="Arial Narrow"/>
          <w:b/>
        </w:rPr>
      </w:pPr>
      <w:r w:rsidRPr="008F2A63">
        <w:rPr>
          <w:rFonts w:ascii="Arial Narrow" w:eastAsia="Calibri" w:hAnsi="Arial Narrow"/>
          <w:b/>
        </w:rPr>
        <w:t>En conclusion, sur l'activité 1 « Revue »: le montant alloué était de 34 959 627 FCFA et les dépenses exécutées se chiffrent à 20 115 000 FCFA, soit un taux d’exécution de 58%. Quant à  l'activité 2 « Fonctionnement »: le montant alloué était de 8 641 118 FCFA et les dépenses se chiffrent à 7 169 419 FCFA, soit un taux d’exécution de 83%.</w:t>
      </w:r>
    </w:p>
    <w:p w14:paraId="07A7B57B" w14:textId="77777777" w:rsidR="00F24B6A" w:rsidRDefault="00F24B6A" w:rsidP="005749B2">
      <w:pPr>
        <w:rPr>
          <w:rFonts w:ascii="Arial Narrow" w:eastAsia="Calibri" w:hAnsi="Arial Narrow"/>
          <w:b/>
        </w:rPr>
        <w:sectPr w:rsidR="00F24B6A" w:rsidSect="005749B2">
          <w:pgSz w:w="16838" w:h="11906" w:orient="landscape"/>
          <w:pgMar w:top="1440" w:right="1440" w:bottom="1440" w:left="1440" w:header="709" w:footer="709" w:gutter="0"/>
          <w:cols w:space="708"/>
          <w:docGrid w:linePitch="360"/>
        </w:sectPr>
      </w:pPr>
    </w:p>
    <w:p w14:paraId="47E9D692" w14:textId="77777777" w:rsidR="00D81A10" w:rsidRDefault="00FD58AD" w:rsidP="00D81A10">
      <w:pPr>
        <w:pStyle w:val="Paragraphedeliste"/>
        <w:numPr>
          <w:ilvl w:val="1"/>
          <w:numId w:val="4"/>
        </w:numPr>
        <w:rPr>
          <w:rFonts w:ascii="Arial Narrow" w:eastAsia="Calibri" w:hAnsi="Arial Narrow"/>
          <w:b/>
          <w:sz w:val="28"/>
          <w:szCs w:val="28"/>
        </w:rPr>
      </w:pPr>
      <w:bookmarkStart w:id="5" w:name="_Toc536706909"/>
      <w:r>
        <w:rPr>
          <w:rFonts w:ascii="Arial Narrow" w:eastAsia="Calibri" w:hAnsi="Arial Narrow"/>
          <w:b/>
          <w:sz w:val="28"/>
          <w:szCs w:val="28"/>
        </w:rPr>
        <w:t>Perspectives</w:t>
      </w:r>
    </w:p>
    <w:p w14:paraId="70D9834A" w14:textId="77777777" w:rsidR="00D81A10" w:rsidRDefault="00D81A10" w:rsidP="00D81A10">
      <w:pPr>
        <w:jc w:val="both"/>
        <w:outlineLvl w:val="1"/>
        <w:rPr>
          <w:rFonts w:ascii="Arial Narrow" w:eastAsia="Calibri" w:hAnsi="Arial Narrow"/>
          <w:b/>
          <w:sz w:val="28"/>
          <w:szCs w:val="28"/>
        </w:rPr>
      </w:pPr>
    </w:p>
    <w:p w14:paraId="638EAF6F" w14:textId="77777777" w:rsidR="00FD58AD" w:rsidRDefault="0039158A" w:rsidP="0039158A">
      <w:pPr>
        <w:pStyle w:val="Paragraphedeliste"/>
        <w:numPr>
          <w:ilvl w:val="0"/>
          <w:numId w:val="3"/>
        </w:numPr>
        <w:jc w:val="both"/>
        <w:rPr>
          <w:rFonts w:ascii="Arial Narrow" w:eastAsia="Calibri" w:hAnsi="Arial Narrow"/>
        </w:rPr>
      </w:pPr>
      <w:r w:rsidRPr="0039158A">
        <w:rPr>
          <w:rFonts w:ascii="Arial Narrow" w:eastAsia="Calibri" w:hAnsi="Arial Narrow"/>
        </w:rPr>
        <w:t>Finalisation du rapport 2019 de mise en œuvre du CREDD et des ODD (Prise en compte par les groupes thématiques, des observations et propositions d’amélioration formulées lors de la session technique de la revue CREDD et ODD);</w:t>
      </w:r>
    </w:p>
    <w:p w14:paraId="73ED1169" w14:textId="77777777" w:rsidR="00206D6E" w:rsidRPr="008F2A63" w:rsidRDefault="00206D6E" w:rsidP="00DB58A3">
      <w:pPr>
        <w:pStyle w:val="Paragraphedeliste"/>
        <w:numPr>
          <w:ilvl w:val="0"/>
          <w:numId w:val="3"/>
        </w:numPr>
        <w:jc w:val="both"/>
        <w:rPr>
          <w:rFonts w:ascii="Arial Narrow" w:eastAsia="Calibri" w:hAnsi="Arial Narrow"/>
        </w:rPr>
      </w:pPr>
      <w:r w:rsidRPr="008F2A63">
        <w:rPr>
          <w:rFonts w:ascii="Arial Narrow" w:eastAsia="Calibri" w:hAnsi="Arial Narrow"/>
        </w:rPr>
        <w:t>Impression et publication du rapport 2019 de mise en œuvre du CREDD et des ODD ;</w:t>
      </w:r>
    </w:p>
    <w:p w14:paraId="68C1CC0C" w14:textId="77777777" w:rsidR="0039158A" w:rsidRPr="0039158A" w:rsidRDefault="0039158A" w:rsidP="00DB58A3">
      <w:pPr>
        <w:pStyle w:val="Paragraphedeliste"/>
        <w:numPr>
          <w:ilvl w:val="0"/>
          <w:numId w:val="3"/>
        </w:numPr>
        <w:jc w:val="both"/>
        <w:rPr>
          <w:rFonts w:ascii="Arial Narrow" w:eastAsia="Calibri" w:hAnsi="Arial Narrow"/>
        </w:rPr>
      </w:pPr>
      <w:r w:rsidRPr="0039158A">
        <w:rPr>
          <w:rFonts w:ascii="Arial Narrow" w:eastAsia="Calibri" w:hAnsi="Arial Narrow"/>
        </w:rPr>
        <w:t xml:space="preserve">Organisation de l’atelier de finalisation et de validation du Cadre de mesure des performances et du Cadre de résultats du CREDD et des ODD ; </w:t>
      </w:r>
    </w:p>
    <w:p w14:paraId="6DBDDF91" w14:textId="77777777" w:rsidR="0039158A" w:rsidRPr="003F10E8" w:rsidRDefault="0039158A" w:rsidP="00DB58A3">
      <w:pPr>
        <w:pStyle w:val="Paragraphedeliste"/>
        <w:numPr>
          <w:ilvl w:val="0"/>
          <w:numId w:val="3"/>
        </w:numPr>
        <w:jc w:val="both"/>
        <w:rPr>
          <w:rFonts w:ascii="Arial Narrow" w:eastAsia="Calibri" w:hAnsi="Arial Narrow"/>
          <w:b/>
          <w:sz w:val="28"/>
          <w:szCs w:val="28"/>
        </w:rPr>
      </w:pPr>
      <w:r w:rsidRPr="0039158A">
        <w:rPr>
          <w:rFonts w:ascii="Arial Narrow" w:eastAsia="Calibri" w:hAnsi="Arial Narrow"/>
        </w:rPr>
        <w:t>Elaboration du rapport sur les tendances de mise en œuvre des ODD de 2015 à 2020 </w:t>
      </w:r>
      <w:r w:rsidRPr="0039158A">
        <w:rPr>
          <w:rFonts w:ascii="Arial Narrow" w:eastAsia="Calibri" w:hAnsi="Arial Narrow"/>
          <w:sz w:val="28"/>
          <w:szCs w:val="28"/>
        </w:rPr>
        <w:t>;</w:t>
      </w:r>
    </w:p>
    <w:p w14:paraId="2836BD81" w14:textId="77777777" w:rsidR="003F10E8" w:rsidRPr="0039158A" w:rsidRDefault="003F10E8" w:rsidP="0077293C">
      <w:pPr>
        <w:pStyle w:val="Paragraphedeliste"/>
        <w:numPr>
          <w:ilvl w:val="0"/>
          <w:numId w:val="3"/>
        </w:numPr>
        <w:jc w:val="both"/>
        <w:rPr>
          <w:rFonts w:ascii="Arial Narrow" w:eastAsia="Calibri" w:hAnsi="Arial Narrow"/>
          <w:b/>
          <w:sz w:val="28"/>
          <w:szCs w:val="28"/>
        </w:rPr>
      </w:pPr>
      <w:r w:rsidRPr="0077293C">
        <w:rPr>
          <w:rFonts w:ascii="Arial Narrow" w:eastAsia="Calibri" w:hAnsi="Arial Narrow"/>
        </w:rPr>
        <w:t xml:space="preserve">Finalisation et validation du nouveau programme, le Programme d’Appui à la Gouvernance </w:t>
      </w:r>
      <w:r w:rsidR="00E555FA">
        <w:rPr>
          <w:rFonts w:ascii="Arial Narrow" w:eastAsia="Calibri" w:hAnsi="Arial Narrow"/>
        </w:rPr>
        <w:t xml:space="preserve">à la Résilience </w:t>
      </w:r>
      <w:r w:rsidRPr="0077293C">
        <w:rPr>
          <w:rFonts w:ascii="Arial Narrow" w:eastAsia="Calibri" w:hAnsi="Arial Narrow"/>
        </w:rPr>
        <w:t xml:space="preserve">Economique et </w:t>
      </w:r>
      <w:r w:rsidR="00E555FA">
        <w:rPr>
          <w:rFonts w:ascii="Arial Narrow" w:eastAsia="Calibri" w:hAnsi="Arial Narrow"/>
        </w:rPr>
        <w:t>au</w:t>
      </w:r>
      <w:r w:rsidRPr="0077293C">
        <w:rPr>
          <w:rFonts w:ascii="Arial Narrow" w:eastAsia="Calibri" w:hAnsi="Arial Narrow"/>
        </w:rPr>
        <w:t xml:space="preserve"> Développement Durable (PAGED 2020 -2023) prenant le relais du PAGER</w:t>
      </w:r>
      <w:r>
        <w:rPr>
          <w:rFonts w:ascii="Arial Narrow" w:eastAsia="Calibri" w:hAnsi="Arial Narrow"/>
          <w:sz w:val="28"/>
          <w:szCs w:val="28"/>
        </w:rPr>
        <w:t>.</w:t>
      </w:r>
    </w:p>
    <w:p w14:paraId="5710D335" w14:textId="77777777" w:rsidR="00FD58AD" w:rsidRPr="00D81A10" w:rsidRDefault="00FD58AD" w:rsidP="00D81A10">
      <w:pPr>
        <w:jc w:val="both"/>
        <w:outlineLvl w:val="1"/>
        <w:rPr>
          <w:rFonts w:ascii="Arial Narrow" w:hAnsi="Arial Narrow"/>
          <w:b/>
          <w:color w:val="00B050"/>
        </w:rPr>
      </w:pPr>
    </w:p>
    <w:p w14:paraId="3B836DD3" w14:textId="77777777" w:rsidR="00CF4997" w:rsidRPr="000E5300" w:rsidRDefault="00CF4997" w:rsidP="0077293C">
      <w:pPr>
        <w:pStyle w:val="Paragraphedeliste"/>
        <w:numPr>
          <w:ilvl w:val="0"/>
          <w:numId w:val="4"/>
        </w:numPr>
        <w:suppressAutoHyphens w:val="0"/>
        <w:jc w:val="both"/>
        <w:outlineLvl w:val="1"/>
        <w:rPr>
          <w:rFonts w:ascii="Arial Narrow" w:hAnsi="Arial Narrow"/>
          <w:b/>
          <w:color w:val="00B050"/>
        </w:rPr>
      </w:pPr>
      <w:bookmarkStart w:id="6" w:name="_Toc48742282"/>
      <w:r w:rsidRPr="000E5300">
        <w:rPr>
          <w:rFonts w:ascii="Arial Narrow" w:hAnsi="Arial Narrow"/>
          <w:b/>
          <w:color w:val="00B050"/>
        </w:rPr>
        <w:t>OBSERVATOIRE DU DÉVELOPPEMENT HUMAIN DURABLE ET DE LUTTE CONTRE LA PAUVRETÉ</w:t>
      </w:r>
      <w:bookmarkEnd w:id="5"/>
      <w:bookmarkEnd w:id="6"/>
    </w:p>
    <w:p w14:paraId="3C18FBC3" w14:textId="77777777" w:rsidR="00CF4997" w:rsidRDefault="00CF4997" w:rsidP="005749B2">
      <w:pPr>
        <w:rPr>
          <w:rFonts w:ascii="Arial Narrow" w:hAnsi="Arial Narrow"/>
        </w:rPr>
      </w:pPr>
    </w:p>
    <w:p w14:paraId="257F45F4" w14:textId="77777777" w:rsidR="003F10E8" w:rsidRPr="001976C3" w:rsidRDefault="003F10E8" w:rsidP="003F10E8">
      <w:pPr>
        <w:rPr>
          <w:rFonts w:ascii="Arial Narrow" w:hAnsi="Arial Narrow"/>
          <w:sz w:val="24"/>
          <w:szCs w:val="24"/>
        </w:rPr>
      </w:pPr>
      <w:r w:rsidRPr="005142C0">
        <w:rPr>
          <w:rFonts w:ascii="Arial Narrow" w:hAnsi="Arial Narrow"/>
          <w:sz w:val="24"/>
          <w:szCs w:val="24"/>
          <w:highlight w:val="green"/>
        </w:rPr>
        <w:t>Conformément aux activités phares retenues courant 2020, une seule activité et le fonctionnement ont été retenus</w:t>
      </w:r>
      <w:r w:rsidRPr="001976C3">
        <w:rPr>
          <w:rFonts w:ascii="Arial Narrow" w:hAnsi="Arial Narrow"/>
          <w:sz w:val="24"/>
          <w:szCs w:val="24"/>
        </w:rPr>
        <w:t>.</w:t>
      </w:r>
    </w:p>
    <w:p w14:paraId="1EAB5A83" w14:textId="77777777" w:rsidR="003F10E8" w:rsidRPr="001976C3" w:rsidRDefault="003F10E8" w:rsidP="0077293C">
      <w:pPr>
        <w:pStyle w:val="Paragraphedeliste"/>
        <w:numPr>
          <w:ilvl w:val="1"/>
          <w:numId w:val="4"/>
        </w:numPr>
        <w:jc w:val="both"/>
        <w:rPr>
          <w:rFonts w:ascii="Arial Narrow" w:hAnsi="Arial Narrow"/>
          <w:b/>
        </w:rPr>
      </w:pPr>
      <w:r w:rsidRPr="001976C3">
        <w:rPr>
          <w:rFonts w:ascii="Arial Narrow" w:hAnsi="Arial Narrow"/>
          <w:b/>
        </w:rPr>
        <w:t xml:space="preserve">Appui aux politiques et stratégies économiques </w:t>
      </w:r>
    </w:p>
    <w:p w14:paraId="2EBC2843" w14:textId="77777777" w:rsidR="003F10E8" w:rsidRPr="001976C3" w:rsidRDefault="003F10E8" w:rsidP="003F10E8">
      <w:pPr>
        <w:spacing w:after="0" w:line="240" w:lineRule="auto"/>
        <w:ind w:left="1065"/>
        <w:jc w:val="both"/>
        <w:rPr>
          <w:rFonts w:ascii="Arial Narrow" w:hAnsi="Arial Narrow"/>
          <w:sz w:val="24"/>
          <w:szCs w:val="24"/>
        </w:rPr>
      </w:pPr>
    </w:p>
    <w:p w14:paraId="03614F8F" w14:textId="77777777" w:rsidR="00E23E09" w:rsidRPr="00CB6A91" w:rsidRDefault="00E23E09" w:rsidP="00E23E09">
      <w:pPr>
        <w:spacing w:after="0" w:line="240" w:lineRule="auto"/>
        <w:jc w:val="both"/>
        <w:rPr>
          <w:rFonts w:ascii="Arial Narrow" w:hAnsi="Arial Narrow"/>
          <w:sz w:val="24"/>
          <w:szCs w:val="24"/>
        </w:rPr>
      </w:pPr>
      <w:r w:rsidRPr="00CB6A91">
        <w:rPr>
          <w:rFonts w:ascii="Arial Narrow" w:hAnsi="Arial Narrow"/>
          <w:sz w:val="24"/>
          <w:szCs w:val="24"/>
        </w:rPr>
        <w:t>A propos de cette composante, l’ODHD/LCP intervient au niveau de l’objectif opérationnel 1 à savoir le suivi et la gestion du développement. Il ressort du bilan que les deux activités prévues (incluant le fonctionnement) sont entièrement réalisées en plus d’autres activités d’importance capitale. La situation se présente comme suit :</w:t>
      </w:r>
    </w:p>
    <w:p w14:paraId="4735E3C9" w14:textId="77777777" w:rsidR="00E23E09" w:rsidRPr="00CB6A91" w:rsidRDefault="00E23E09" w:rsidP="00E23E09">
      <w:pPr>
        <w:spacing w:after="0" w:line="240" w:lineRule="auto"/>
        <w:ind w:left="360"/>
        <w:jc w:val="both"/>
        <w:rPr>
          <w:rFonts w:ascii="Arial Narrow" w:hAnsi="Arial Narrow"/>
          <w:sz w:val="24"/>
          <w:szCs w:val="24"/>
        </w:rPr>
      </w:pPr>
    </w:p>
    <w:p w14:paraId="797070C1" w14:textId="77777777" w:rsidR="00E23E09" w:rsidRPr="00CB6A91" w:rsidRDefault="00E23E09" w:rsidP="00E23E09">
      <w:pPr>
        <w:spacing w:after="0" w:line="240" w:lineRule="auto"/>
        <w:jc w:val="both"/>
        <w:rPr>
          <w:rFonts w:ascii="Arial Narrow" w:hAnsi="Arial Narrow"/>
          <w:b/>
          <w:sz w:val="24"/>
          <w:szCs w:val="24"/>
        </w:rPr>
      </w:pPr>
    </w:p>
    <w:p w14:paraId="69A29B0A" w14:textId="77777777" w:rsidR="00E23E09" w:rsidRPr="00CB6A91" w:rsidRDefault="00E23E09" w:rsidP="00E23E09">
      <w:pPr>
        <w:spacing w:after="0" w:line="240" w:lineRule="auto"/>
        <w:jc w:val="both"/>
        <w:rPr>
          <w:rFonts w:ascii="Arial Narrow" w:hAnsi="Arial Narrow"/>
          <w:b/>
          <w:sz w:val="24"/>
          <w:szCs w:val="24"/>
        </w:rPr>
      </w:pPr>
      <w:r w:rsidRPr="00CB6A91">
        <w:rPr>
          <w:rFonts w:ascii="Arial Narrow" w:hAnsi="Arial Narrow"/>
          <w:b/>
          <w:sz w:val="24"/>
          <w:szCs w:val="24"/>
        </w:rPr>
        <w:t xml:space="preserve">Activité </w:t>
      </w:r>
      <w:r>
        <w:rPr>
          <w:rFonts w:ascii="Arial Narrow" w:hAnsi="Arial Narrow"/>
          <w:b/>
          <w:sz w:val="24"/>
          <w:szCs w:val="24"/>
        </w:rPr>
        <w:t>2</w:t>
      </w:r>
      <w:r w:rsidRPr="00CB6A91">
        <w:rPr>
          <w:rFonts w:ascii="Arial Narrow" w:hAnsi="Arial Narrow"/>
          <w:b/>
          <w:sz w:val="24"/>
          <w:szCs w:val="24"/>
        </w:rPr>
        <w:t xml:space="preserve">.1.1. </w:t>
      </w:r>
      <w:r w:rsidRPr="005142C0">
        <w:rPr>
          <w:rFonts w:ascii="Arial Narrow" w:hAnsi="Arial Narrow"/>
          <w:b/>
          <w:sz w:val="24"/>
          <w:szCs w:val="24"/>
          <w:highlight w:val="green"/>
        </w:rPr>
        <w:t>Elaboration du profil de pauvreté et l’établissement de la situation des Objectifs de Développement Durable au Mali des communes 2020</w:t>
      </w:r>
    </w:p>
    <w:p w14:paraId="1E22C373" w14:textId="77777777" w:rsidR="00E23E09" w:rsidRPr="00CB6A91" w:rsidRDefault="00E23E09" w:rsidP="00E23E09">
      <w:pPr>
        <w:pStyle w:val="Paragraphedeliste"/>
        <w:ind w:left="0"/>
        <w:contextualSpacing w:val="0"/>
        <w:jc w:val="both"/>
        <w:rPr>
          <w:rFonts w:ascii="Arial Narrow" w:eastAsia="Arial Unicode MS" w:hAnsi="Arial Narrow"/>
          <w:b/>
          <w:i/>
        </w:rPr>
      </w:pPr>
    </w:p>
    <w:p w14:paraId="36B0CD13" w14:textId="77777777" w:rsidR="00E23E09" w:rsidRPr="00CB6A91" w:rsidRDefault="00E23E09" w:rsidP="00E23E09">
      <w:pPr>
        <w:spacing w:after="0" w:line="240" w:lineRule="auto"/>
        <w:jc w:val="both"/>
        <w:rPr>
          <w:rFonts w:ascii="Arial Narrow" w:eastAsia="Times New Roman" w:hAnsi="Arial Narrow"/>
          <w:bCs/>
          <w:sz w:val="24"/>
          <w:szCs w:val="24"/>
        </w:rPr>
      </w:pPr>
      <w:r w:rsidRPr="00CB6A91">
        <w:rPr>
          <w:rFonts w:ascii="Arial Narrow" w:hAnsi="Arial Narrow"/>
          <w:sz w:val="24"/>
          <w:szCs w:val="24"/>
        </w:rPr>
        <w:t xml:space="preserve">Les travaux de </w:t>
      </w:r>
      <w:r w:rsidRPr="00CB6A91">
        <w:rPr>
          <w:rFonts w:ascii="Arial Narrow" w:eastAsia="Times New Roman" w:hAnsi="Arial Narrow"/>
          <w:sz w:val="24"/>
          <w:szCs w:val="24"/>
        </w:rPr>
        <w:t>l’é</w:t>
      </w:r>
      <w:r w:rsidRPr="00CB6A91">
        <w:rPr>
          <w:rFonts w:ascii="Arial Narrow" w:eastAsia="Times New Roman" w:hAnsi="Arial Narrow"/>
          <w:bCs/>
          <w:sz w:val="24"/>
          <w:szCs w:val="24"/>
        </w:rPr>
        <w:t>laboration des profils de pauvreté et l’établissement de la situation des Objectifs de Développement Durable dans les communes du Mali ont été faits par le Comité scientifique élargi. Il s’agit de :</w:t>
      </w:r>
    </w:p>
    <w:p w14:paraId="37B81184" w14:textId="77777777" w:rsidR="00E23E09" w:rsidRPr="00CB6A91" w:rsidRDefault="00E23E09" w:rsidP="00E23E09">
      <w:pPr>
        <w:spacing w:after="0" w:line="240" w:lineRule="auto"/>
        <w:jc w:val="both"/>
        <w:rPr>
          <w:rFonts w:ascii="Arial Narrow" w:eastAsia="Times New Roman" w:hAnsi="Arial Narrow"/>
          <w:bCs/>
          <w:sz w:val="24"/>
          <w:szCs w:val="24"/>
        </w:rPr>
      </w:pPr>
    </w:p>
    <w:p w14:paraId="2B84D6F6"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rPr>
        <w:t>la validation des TDR de l’étude ;</w:t>
      </w:r>
    </w:p>
    <w:p w14:paraId="22376553"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rPr>
        <w:t>le choix des consultants ;</w:t>
      </w:r>
    </w:p>
    <w:p w14:paraId="4236DF58"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rPr>
        <w:t>la validation de la Note d’orientation ;</w:t>
      </w:r>
    </w:p>
    <w:p w14:paraId="4E2303AA"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rPr>
        <w:t xml:space="preserve">l’élaboration et la validation du questionnaire et manuel </w:t>
      </w:r>
      <w:r w:rsidRPr="00CB6A91">
        <w:rPr>
          <w:rFonts w:ascii="Arial Narrow" w:hAnsi="Arial Narrow"/>
          <w:b/>
        </w:rPr>
        <w:t>Commune</w:t>
      </w:r>
      <w:r w:rsidRPr="00CB6A91">
        <w:rPr>
          <w:rFonts w:ascii="Arial Narrow" w:hAnsi="Arial Narrow"/>
        </w:rPr>
        <w:t xml:space="preserve">. Le questionnaire comporte une page de garde et 12 modules et des sous modules La page de garde enregistre les identifiants de la commune et les noms et prénoms des membres de l’équipe chargée de l’enquête dans la commune. Les 12 modules sont conçus pour enregistrer les données essentielles portant sur les points suivants : </w:t>
      </w:r>
    </w:p>
    <w:p w14:paraId="305082A6"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Modules A : Caractéristiques générales ;</w:t>
      </w:r>
    </w:p>
    <w:p w14:paraId="1BB0F7BE"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A1. Caractéristiques administratives ;</w:t>
      </w:r>
    </w:p>
    <w:p w14:paraId="6F1CFAE7"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A2. Aménagements agricoles et Ressources naturelles ;</w:t>
      </w:r>
    </w:p>
    <w:p w14:paraId="45D269AD"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Modules B : Caractéristiques des établissements scolaires ;</w:t>
      </w:r>
    </w:p>
    <w:p w14:paraId="342CF222"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B1. Etablissements de l’enseignement préscolaire ;</w:t>
      </w:r>
    </w:p>
    <w:p w14:paraId="3B51C57D"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B2. Etablissements de l’enseignement fondamental ;</w:t>
      </w:r>
    </w:p>
    <w:p w14:paraId="4B121CA8"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B3. Etablissements de l’enseignement secondaire ;</w:t>
      </w:r>
    </w:p>
    <w:p w14:paraId="10E2477B"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C : Gouvernance économique et gestion du territoire ;</w:t>
      </w:r>
    </w:p>
    <w:p w14:paraId="53DCE31E"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Modules D : Gouvernance sociale ;</w:t>
      </w:r>
    </w:p>
    <w:p w14:paraId="5C01E0E5"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D.1 : Violences faites aux femmes et aux filles ;</w:t>
      </w:r>
    </w:p>
    <w:p w14:paraId="4F1D99B7"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D.2 : Assistance sociale ;</w:t>
      </w:r>
    </w:p>
    <w:p w14:paraId="3D9EEA3B"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Modules E : Gouvernances politique Administrative et Sécuritaire ;</w:t>
      </w:r>
    </w:p>
    <w:p w14:paraId="148CB0BA"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E.1 : Gouvernance politique et administrative ;</w:t>
      </w:r>
    </w:p>
    <w:p w14:paraId="74649A7F"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E.2 : Gouvernance Sécuritaire ;</w:t>
      </w:r>
    </w:p>
    <w:p w14:paraId="5287EC8D"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E3 : Gouvernance sanitaire en rapport avec Covid-19 ;</w:t>
      </w:r>
    </w:p>
    <w:p w14:paraId="438AC526" w14:textId="77777777" w:rsidR="00E23E09" w:rsidRPr="00CB6A91" w:rsidRDefault="00E23E09" w:rsidP="00E23E09">
      <w:pPr>
        <w:pStyle w:val="Paragraphedeliste"/>
        <w:numPr>
          <w:ilvl w:val="2"/>
          <w:numId w:val="21"/>
        </w:numPr>
        <w:suppressAutoHyphens w:val="0"/>
        <w:jc w:val="both"/>
        <w:rPr>
          <w:rFonts w:ascii="Arial Narrow" w:hAnsi="Arial Narrow"/>
        </w:rPr>
      </w:pPr>
      <w:r w:rsidRPr="00CB6A91">
        <w:rPr>
          <w:rFonts w:ascii="Arial Narrow" w:hAnsi="Arial Narrow"/>
        </w:rPr>
        <w:t>Module F : Gouvernance environnementale.</w:t>
      </w:r>
    </w:p>
    <w:p w14:paraId="3DBA1A2C" w14:textId="77777777" w:rsidR="00E23E09" w:rsidRDefault="00E23E09" w:rsidP="00E23E09">
      <w:pPr>
        <w:spacing w:after="0" w:line="240" w:lineRule="auto"/>
        <w:jc w:val="both"/>
        <w:rPr>
          <w:rFonts w:ascii="Arial Narrow" w:hAnsi="Arial Narrow"/>
          <w:sz w:val="24"/>
          <w:szCs w:val="24"/>
        </w:rPr>
      </w:pPr>
    </w:p>
    <w:p w14:paraId="278ADBE2" w14:textId="77777777" w:rsidR="00E23E09" w:rsidRDefault="00E23E09" w:rsidP="00E23E09">
      <w:pPr>
        <w:pStyle w:val="Paragraphedeliste"/>
        <w:numPr>
          <w:ilvl w:val="1"/>
          <w:numId w:val="15"/>
        </w:numPr>
        <w:suppressAutoHyphens w:val="0"/>
        <w:jc w:val="both"/>
        <w:rPr>
          <w:rFonts w:ascii="Arial Narrow" w:hAnsi="Arial Narrow"/>
        </w:rPr>
      </w:pPr>
      <w:r w:rsidRPr="00E23E09">
        <w:rPr>
          <w:rFonts w:ascii="Arial Narrow" w:hAnsi="Arial Narrow"/>
        </w:rPr>
        <w:t>l’élaboration et la validation du questionnaire et manuel Localité</w:t>
      </w:r>
      <w:r w:rsidRPr="00CB6A91">
        <w:rPr>
          <w:rFonts w:ascii="Arial Narrow" w:hAnsi="Arial Narrow"/>
        </w:rPr>
        <w:t>. Le questionnaire localité 2020 permet d’enregistrer les données nécessaires pour établir le profil socioéconomique des localités (d’où le nom « Questionnaire Localité ») et  à travers celui de la  commune. Il est rempli sans exception pour chaque localité de la commune.  Il est structuré en 15 modules que sont :</w:t>
      </w:r>
    </w:p>
    <w:p w14:paraId="15223509" w14:textId="77777777" w:rsidR="00E23E09" w:rsidRPr="00CB6A91" w:rsidRDefault="00E23E09" w:rsidP="00E23E09">
      <w:pPr>
        <w:pStyle w:val="Paragraphedeliste"/>
        <w:suppressAutoHyphens w:val="0"/>
        <w:ind w:left="1440"/>
        <w:jc w:val="both"/>
        <w:rPr>
          <w:rFonts w:ascii="Arial Narrow" w:hAnsi="Arial Narrow"/>
        </w:rPr>
      </w:pPr>
    </w:p>
    <w:p w14:paraId="5C595C21"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 xml:space="preserve">Module G.1 : Etat de désenclavement de la localité ; </w:t>
      </w:r>
    </w:p>
    <w:p w14:paraId="6B30513A"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G2 : Etat de désenclavement de la localité : Infrastructures de transport ;</w:t>
      </w:r>
    </w:p>
    <w:p w14:paraId="37A905D9"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H : Couverture de la localité par les réseaux de télécommunication et les moyens d’information ;</w:t>
      </w:r>
    </w:p>
    <w:p w14:paraId="6A521F56"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I.1 : Systèmes d’approvisionnement en énergie de la localité : Approvisionnement par réseau ;</w:t>
      </w:r>
    </w:p>
    <w:p w14:paraId="6B890759"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I.2 : Systèmes d’approvisionnement en énergie de la localité : Autres énergies modernes ;</w:t>
      </w:r>
    </w:p>
    <w:p w14:paraId="02EBCAC3"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I.3 : Système d’accès à l’eau potable et à l’assainissement ;</w:t>
      </w:r>
    </w:p>
    <w:p w14:paraId="2ACE3DD5"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J : Pratiques d’activités de diversification des revenus   ;</w:t>
      </w:r>
    </w:p>
    <w:p w14:paraId="4526E78D"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K : Ressources naturelles : Réserves eau et terre pour culture, forêt et cueillette ;</w:t>
      </w:r>
    </w:p>
    <w:p w14:paraId="008DEE88"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L : Facteurs d’intensification de la production et situation du principal marché le plus proche ;</w:t>
      </w:r>
    </w:p>
    <w:p w14:paraId="600496DE"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M : Responsabilité et Autonomisation des femmes ;</w:t>
      </w:r>
    </w:p>
    <w:p w14:paraId="2B1CBD16"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 xml:space="preserve"> Module N : Structures d’éducation formelle et non formelle fonctionnelles ;</w:t>
      </w:r>
    </w:p>
    <w:p w14:paraId="088EAC4B"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O : Formations Sanitaires fonctionnelles et pratiques d’hygiène et de prévention ;</w:t>
      </w:r>
    </w:p>
    <w:p w14:paraId="64746EAB"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Module P : Transformation de produits locaux et artisanat ;</w:t>
      </w:r>
    </w:p>
    <w:p w14:paraId="61C68384"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 xml:space="preserve"> Module Q : Liste et caractéristiques des trois principales organisations économiques ;</w:t>
      </w:r>
    </w:p>
    <w:p w14:paraId="17B0404A" w14:textId="77777777" w:rsidR="00E23E09" w:rsidRPr="00CB6A91" w:rsidRDefault="00E23E09" w:rsidP="00E23E09">
      <w:pPr>
        <w:pStyle w:val="Paragraphedeliste"/>
        <w:numPr>
          <w:ilvl w:val="2"/>
          <w:numId w:val="22"/>
        </w:numPr>
        <w:suppressAutoHyphens w:val="0"/>
        <w:jc w:val="both"/>
        <w:rPr>
          <w:rFonts w:ascii="Arial Narrow" w:hAnsi="Arial Narrow"/>
        </w:rPr>
      </w:pPr>
      <w:r w:rsidRPr="00CB6A91">
        <w:rPr>
          <w:rFonts w:ascii="Arial Narrow" w:hAnsi="Arial Narrow"/>
        </w:rPr>
        <w:t xml:space="preserve"> Module R : Infrastructures économiques et culturelles de la localité.</w:t>
      </w:r>
    </w:p>
    <w:p w14:paraId="5F9F087C" w14:textId="77777777" w:rsidR="00E23E09" w:rsidRPr="00CB6A91" w:rsidRDefault="00E23E09" w:rsidP="00E23E09">
      <w:pPr>
        <w:pStyle w:val="Paragraphedeliste"/>
        <w:ind w:left="2160"/>
        <w:jc w:val="both"/>
        <w:rPr>
          <w:rFonts w:ascii="Arial Narrow" w:hAnsi="Arial Narrow"/>
        </w:rPr>
      </w:pPr>
    </w:p>
    <w:p w14:paraId="73156053"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bCs/>
        </w:rPr>
        <w:t xml:space="preserve">la formation des formateurs régionaux sur les </w:t>
      </w:r>
      <w:r w:rsidRPr="00CB6A91">
        <w:rPr>
          <w:rFonts w:ascii="Arial Narrow" w:hAnsi="Arial Narrow"/>
        </w:rPr>
        <w:t>documents techniques notamment l’ensemble des Directeurs Régionaux avec leur suppléant du Plan, de la Statistique, de l’Informatique, de l’Aménagement du territoire et de la Population.</w:t>
      </w:r>
    </w:p>
    <w:p w14:paraId="161D43D8" w14:textId="77777777" w:rsidR="00E23E09" w:rsidRPr="00CB6A91" w:rsidRDefault="00E23E09" w:rsidP="00E23E09">
      <w:pPr>
        <w:spacing w:after="0" w:line="240" w:lineRule="auto"/>
        <w:ind w:left="1080"/>
        <w:jc w:val="both"/>
        <w:rPr>
          <w:rFonts w:ascii="Arial Narrow" w:hAnsi="Arial Narrow"/>
          <w:sz w:val="24"/>
          <w:szCs w:val="24"/>
        </w:rPr>
      </w:pPr>
    </w:p>
    <w:p w14:paraId="7BC07A53" w14:textId="77777777" w:rsidR="00E23E09" w:rsidRPr="00CB6A91" w:rsidRDefault="00E23E09" w:rsidP="00E23E09">
      <w:pPr>
        <w:pStyle w:val="Paragraphedeliste"/>
        <w:numPr>
          <w:ilvl w:val="1"/>
          <w:numId w:val="15"/>
        </w:numPr>
        <w:suppressAutoHyphens w:val="0"/>
        <w:jc w:val="both"/>
        <w:rPr>
          <w:rFonts w:ascii="Arial Narrow" w:hAnsi="Arial Narrow"/>
        </w:rPr>
      </w:pPr>
      <w:r w:rsidRPr="00CB6A91">
        <w:rPr>
          <w:rFonts w:ascii="Arial Narrow" w:hAnsi="Arial Narrow"/>
        </w:rPr>
        <w:t>l’élaboration des différents guides d’entretien qualitatifs. Au total, nous avons 6 guides d’entretiens individuels et 2 focus groups (hommes et femmes).</w:t>
      </w:r>
    </w:p>
    <w:p w14:paraId="2221BF96" w14:textId="77777777" w:rsidR="00E23E09" w:rsidRPr="00CB6A91" w:rsidRDefault="00E23E09" w:rsidP="00E23E09">
      <w:pPr>
        <w:pStyle w:val="Paragraphedeliste"/>
        <w:numPr>
          <w:ilvl w:val="2"/>
          <w:numId w:val="25"/>
        </w:numPr>
        <w:suppressAutoHyphens w:val="0"/>
        <w:jc w:val="both"/>
        <w:rPr>
          <w:rFonts w:ascii="Arial Narrow" w:hAnsi="Arial Narrow"/>
        </w:rPr>
      </w:pPr>
      <w:r w:rsidRPr="00CB6A91">
        <w:rPr>
          <w:rFonts w:ascii="Arial Narrow" w:hAnsi="Arial Narrow"/>
        </w:rPr>
        <w:t>Les guides Education, Santé, Eau/hygiène/assainissement et Egalité des sexes et autonomisation des femmes et des filles ont été revisités et améliorés.</w:t>
      </w:r>
    </w:p>
    <w:p w14:paraId="03BF93AB" w14:textId="77777777" w:rsidR="00E23E09" w:rsidRPr="00CB6A91" w:rsidRDefault="00E23E09" w:rsidP="00E23E09">
      <w:pPr>
        <w:pStyle w:val="Paragraphedeliste"/>
        <w:numPr>
          <w:ilvl w:val="2"/>
          <w:numId w:val="25"/>
        </w:numPr>
        <w:suppressAutoHyphens w:val="0"/>
        <w:jc w:val="both"/>
        <w:rPr>
          <w:rFonts w:ascii="Arial Narrow" w:hAnsi="Arial Narrow"/>
        </w:rPr>
      </w:pPr>
      <w:r w:rsidRPr="00CB6A91">
        <w:rPr>
          <w:rFonts w:ascii="Arial Narrow" w:hAnsi="Arial Narrow"/>
        </w:rPr>
        <w:t xml:space="preserve"> Les guides protection de l’environnement et Sécurité ont été élaborés nouvellement. Ils pourraient être éventuellement intéressantes vu l’importance et l'actualité de ces problématiques.</w:t>
      </w:r>
    </w:p>
    <w:p w14:paraId="6790C71C" w14:textId="77777777" w:rsidR="00E23E09" w:rsidRPr="00CB6A91" w:rsidRDefault="00E23E09" w:rsidP="00E23E09">
      <w:pPr>
        <w:pStyle w:val="Paragraphedeliste"/>
        <w:numPr>
          <w:ilvl w:val="2"/>
          <w:numId w:val="25"/>
        </w:numPr>
        <w:suppressAutoHyphens w:val="0"/>
        <w:jc w:val="both"/>
        <w:rPr>
          <w:rFonts w:ascii="Arial Narrow" w:hAnsi="Arial Narrow"/>
        </w:rPr>
      </w:pPr>
      <w:r w:rsidRPr="00CB6A91">
        <w:rPr>
          <w:rFonts w:ascii="Arial Narrow" w:hAnsi="Arial Narrow"/>
        </w:rPr>
        <w:t>Des focus Group multithématiques Hommes/Femmes intitulé : Accessibilité aux services sociaux de bases de qualité, protection de l’environnement, sécurité et promotion féminine. Les questions essentielles des différents guides individuels y sont énoncées et qui devront être posées à des groupes de [6-12] personnes dans les localités choisies.</w:t>
      </w:r>
    </w:p>
    <w:p w14:paraId="38335BA8" w14:textId="77777777" w:rsidR="00E23E09" w:rsidRPr="00CB6A91" w:rsidRDefault="00E23E09" w:rsidP="00E23E09">
      <w:pPr>
        <w:spacing w:after="0" w:line="240" w:lineRule="auto"/>
        <w:jc w:val="both"/>
        <w:rPr>
          <w:rFonts w:ascii="Arial Narrow" w:hAnsi="Arial Narrow"/>
          <w:b/>
          <w:sz w:val="24"/>
          <w:szCs w:val="24"/>
        </w:rPr>
      </w:pPr>
    </w:p>
    <w:p w14:paraId="255017BF" w14:textId="77777777" w:rsidR="00E23E09" w:rsidRPr="00E23E09" w:rsidRDefault="00E23E09" w:rsidP="00E23E09">
      <w:pPr>
        <w:pStyle w:val="Titre1"/>
        <w:spacing w:before="0" w:line="240" w:lineRule="auto"/>
        <w:jc w:val="both"/>
        <w:rPr>
          <w:rFonts w:ascii="Arial Narrow" w:hAnsi="Arial Narrow"/>
          <w:b/>
          <w:bCs/>
          <w:color w:val="auto"/>
          <w:sz w:val="24"/>
          <w:szCs w:val="24"/>
        </w:rPr>
      </w:pPr>
      <w:r w:rsidRPr="00E23E09">
        <w:rPr>
          <w:rFonts w:ascii="Arial Narrow" w:hAnsi="Arial Narrow"/>
          <w:b/>
          <w:color w:val="auto"/>
          <w:sz w:val="24"/>
          <w:szCs w:val="24"/>
          <w:u w:val="single"/>
        </w:rPr>
        <w:t>Activités 2.1.2  fonctionnement</w:t>
      </w:r>
      <w:r w:rsidRPr="00E23E09">
        <w:rPr>
          <w:rFonts w:ascii="Arial Narrow" w:hAnsi="Arial Narrow"/>
          <w:b/>
          <w:color w:val="auto"/>
          <w:sz w:val="24"/>
          <w:szCs w:val="24"/>
        </w:rPr>
        <w:t> : Dépenses effectuées pour les activités phares</w:t>
      </w:r>
    </w:p>
    <w:p w14:paraId="0CABBA74" w14:textId="77777777" w:rsidR="00E23E09" w:rsidRPr="00CB6A91" w:rsidRDefault="00E23E09" w:rsidP="00E23E09">
      <w:pPr>
        <w:spacing w:after="0" w:line="240" w:lineRule="auto"/>
        <w:jc w:val="both"/>
        <w:rPr>
          <w:rFonts w:ascii="Arial Narrow" w:hAnsi="Arial Narrow"/>
          <w:bCs/>
          <w:sz w:val="24"/>
          <w:szCs w:val="24"/>
        </w:rPr>
      </w:pPr>
    </w:p>
    <w:p w14:paraId="331CB33B" w14:textId="77777777" w:rsidR="00E23E09" w:rsidRPr="005142C0" w:rsidRDefault="00E23E09" w:rsidP="00E23E09">
      <w:pPr>
        <w:spacing w:after="0" w:line="240" w:lineRule="auto"/>
        <w:jc w:val="both"/>
        <w:rPr>
          <w:rFonts w:ascii="Arial Narrow" w:hAnsi="Arial Narrow"/>
          <w:bCs/>
          <w:sz w:val="24"/>
          <w:szCs w:val="24"/>
          <w:highlight w:val="green"/>
        </w:rPr>
      </w:pPr>
      <w:r w:rsidRPr="005142C0">
        <w:rPr>
          <w:rFonts w:ascii="Arial Narrow" w:hAnsi="Arial Narrow"/>
          <w:bCs/>
          <w:sz w:val="24"/>
          <w:szCs w:val="24"/>
          <w:highlight w:val="green"/>
        </w:rPr>
        <w:t>Dans le cadre des activités phares retenues, l’ODHD/LCP a reçu un montant de 20 000 000 FCFA dont 12 500 000 FCFA pour l’élaboration des documents techniques de l’enquête au niveau des communes et 7 500 000 FCFA pour le fonctionnement. Sur ce montant,                         19 639 840 FCFA ont été exécutés et justifiés.</w:t>
      </w:r>
    </w:p>
    <w:p w14:paraId="6F14B606" w14:textId="77777777" w:rsidR="00E23E09" w:rsidRPr="005142C0" w:rsidRDefault="00E23E09" w:rsidP="00E23E09">
      <w:pPr>
        <w:spacing w:after="0" w:line="240" w:lineRule="auto"/>
        <w:jc w:val="both"/>
        <w:rPr>
          <w:rFonts w:ascii="Arial Narrow" w:hAnsi="Arial Narrow"/>
          <w:bCs/>
          <w:sz w:val="24"/>
          <w:szCs w:val="24"/>
          <w:highlight w:val="green"/>
        </w:rPr>
      </w:pPr>
    </w:p>
    <w:p w14:paraId="0897EAFC" w14:textId="77777777" w:rsidR="003F10E8" w:rsidRPr="001976C3" w:rsidRDefault="00E23E09" w:rsidP="00E23E09">
      <w:pPr>
        <w:spacing w:after="0" w:line="240" w:lineRule="auto"/>
        <w:jc w:val="both"/>
        <w:rPr>
          <w:rFonts w:ascii="Arial Narrow" w:hAnsi="Arial Narrow"/>
          <w:b/>
          <w:bCs/>
          <w:sz w:val="24"/>
          <w:szCs w:val="24"/>
        </w:rPr>
      </w:pPr>
      <w:r w:rsidRPr="005142C0">
        <w:rPr>
          <w:rFonts w:ascii="Arial Narrow" w:hAnsi="Arial Narrow"/>
          <w:bCs/>
          <w:sz w:val="24"/>
          <w:szCs w:val="24"/>
          <w:highlight w:val="green"/>
        </w:rPr>
        <w:t>Les autres activités réalisées l’ont été entièrement sur les ressources de la contrepartie de l’Etat au PAGER d’un montant de 63 600 000 FCFA.</w:t>
      </w:r>
    </w:p>
    <w:p w14:paraId="471E811D" w14:textId="77777777" w:rsidR="00E23E09" w:rsidRDefault="00E23E09" w:rsidP="003F10E8">
      <w:pPr>
        <w:spacing w:after="0" w:line="240" w:lineRule="auto"/>
        <w:jc w:val="both"/>
        <w:rPr>
          <w:rFonts w:ascii="Arial Narrow" w:hAnsi="Arial Narrow"/>
          <w:b/>
          <w:bCs/>
          <w:sz w:val="24"/>
          <w:szCs w:val="24"/>
        </w:rPr>
      </w:pPr>
    </w:p>
    <w:p w14:paraId="784C1EE2" w14:textId="77777777" w:rsidR="00CF4997" w:rsidRPr="00E23E09" w:rsidRDefault="00E23E09" w:rsidP="005749B2">
      <w:pPr>
        <w:pStyle w:val="Paragraphedeliste"/>
        <w:numPr>
          <w:ilvl w:val="1"/>
          <w:numId w:val="4"/>
        </w:numPr>
        <w:jc w:val="both"/>
        <w:rPr>
          <w:rFonts w:ascii="Arial Narrow" w:hAnsi="Arial Narrow"/>
          <w:b/>
          <w:sz w:val="26"/>
          <w:szCs w:val="26"/>
        </w:rPr>
      </w:pPr>
      <w:r w:rsidRPr="00E23E09">
        <w:rPr>
          <w:rFonts w:ascii="Arial Narrow" w:eastAsia="Arial Unicode MS" w:hAnsi="Arial Narrow"/>
          <w:b/>
          <w:sz w:val="26"/>
          <w:szCs w:val="26"/>
        </w:rPr>
        <w:t>Perspectives</w:t>
      </w:r>
    </w:p>
    <w:p w14:paraId="1B49ACC7" w14:textId="77777777" w:rsidR="00E23E09" w:rsidRPr="00CB6A91" w:rsidRDefault="00E23E09" w:rsidP="00E23E09">
      <w:pPr>
        <w:spacing w:after="0" w:line="240" w:lineRule="auto"/>
        <w:jc w:val="both"/>
        <w:rPr>
          <w:rFonts w:ascii="Arial Narrow" w:eastAsia="Arial Unicode MS" w:hAnsi="Arial Narrow"/>
          <w:sz w:val="24"/>
          <w:szCs w:val="24"/>
        </w:rPr>
      </w:pPr>
    </w:p>
    <w:p w14:paraId="74761EB0" w14:textId="77777777" w:rsidR="00E23E09" w:rsidRPr="00CB6A91" w:rsidRDefault="00E23E09" w:rsidP="00E23E09">
      <w:pPr>
        <w:numPr>
          <w:ilvl w:val="0"/>
          <w:numId w:val="13"/>
        </w:numPr>
        <w:spacing w:after="0" w:line="240" w:lineRule="auto"/>
        <w:jc w:val="both"/>
        <w:rPr>
          <w:rFonts w:ascii="Arial Narrow" w:eastAsia="Arial Unicode MS" w:hAnsi="Arial Narrow"/>
          <w:sz w:val="24"/>
          <w:szCs w:val="24"/>
        </w:rPr>
      </w:pPr>
      <w:r w:rsidRPr="00CB6A91">
        <w:rPr>
          <w:rFonts w:ascii="Arial Narrow" w:eastAsia="Times New Roman" w:hAnsi="Arial Narrow"/>
          <w:b/>
          <w:sz w:val="24"/>
          <w:szCs w:val="24"/>
        </w:rPr>
        <w:t>E</w:t>
      </w:r>
      <w:r w:rsidRPr="00CB6A91">
        <w:rPr>
          <w:rFonts w:ascii="Arial Narrow" w:eastAsia="Times New Roman" w:hAnsi="Arial Narrow"/>
          <w:b/>
          <w:bCs/>
          <w:sz w:val="24"/>
          <w:szCs w:val="24"/>
        </w:rPr>
        <w:t>laboration des profils de pauvreté et l’établissement de la situation des Objectifs de Développement Durable dans les communes du Mali</w:t>
      </w:r>
      <w:r w:rsidRPr="00CB6A91">
        <w:rPr>
          <w:rFonts w:ascii="Arial Narrow" w:eastAsia="Times New Roman" w:hAnsi="Arial Narrow"/>
          <w:bCs/>
          <w:sz w:val="24"/>
          <w:szCs w:val="24"/>
        </w:rPr>
        <w:t xml:space="preserve"> : les étapes immédiates sont </w:t>
      </w:r>
      <w:r w:rsidRPr="00CB6A91">
        <w:rPr>
          <w:rFonts w:ascii="Arial Narrow" w:eastAsia="Arial Unicode MS" w:hAnsi="Arial Narrow"/>
          <w:sz w:val="24"/>
          <w:szCs w:val="24"/>
        </w:rPr>
        <w:t>la collecte, le traitement et l’analyse des collectées dans les communes et localité</w:t>
      </w:r>
      <w:r w:rsidRPr="00CB6A91">
        <w:rPr>
          <w:rFonts w:ascii="Arial Narrow" w:eastAsia="Times New Roman" w:hAnsi="Arial Narrow"/>
          <w:sz w:val="24"/>
          <w:szCs w:val="24"/>
        </w:rPr>
        <w:t>.</w:t>
      </w:r>
    </w:p>
    <w:p w14:paraId="72844251" w14:textId="77777777" w:rsidR="00E23E09" w:rsidRPr="00CB6A91" w:rsidRDefault="00E23E09" w:rsidP="00E23E09">
      <w:pPr>
        <w:spacing w:after="0" w:line="240" w:lineRule="auto"/>
        <w:jc w:val="both"/>
        <w:rPr>
          <w:rFonts w:ascii="Arial Narrow" w:eastAsia="Arial Unicode MS" w:hAnsi="Arial Narrow"/>
          <w:sz w:val="24"/>
          <w:szCs w:val="24"/>
        </w:rPr>
      </w:pPr>
    </w:p>
    <w:p w14:paraId="56F10B58" w14:textId="77777777" w:rsidR="00E23E09" w:rsidRPr="00CB6A91" w:rsidRDefault="00E23E09" w:rsidP="00E23E09">
      <w:pPr>
        <w:numPr>
          <w:ilvl w:val="0"/>
          <w:numId w:val="13"/>
        </w:numPr>
        <w:spacing w:after="0" w:line="240" w:lineRule="auto"/>
        <w:jc w:val="both"/>
        <w:rPr>
          <w:rFonts w:ascii="Arial Narrow" w:eastAsia="Arial Unicode MS" w:hAnsi="Arial Narrow"/>
          <w:sz w:val="24"/>
          <w:szCs w:val="24"/>
        </w:rPr>
      </w:pPr>
      <w:r w:rsidRPr="00CB6A91">
        <w:rPr>
          <w:rFonts w:ascii="Arial Narrow" w:eastAsia="Arial Unicode MS" w:hAnsi="Arial Narrow"/>
          <w:b/>
          <w:sz w:val="24"/>
          <w:szCs w:val="24"/>
        </w:rPr>
        <w:t>Finalisation du RNDH, édition 2020</w:t>
      </w:r>
      <w:r w:rsidRPr="00CB6A91">
        <w:rPr>
          <w:rFonts w:ascii="Arial Narrow" w:eastAsia="Arial Unicode MS" w:hAnsi="Arial Narrow"/>
          <w:sz w:val="24"/>
          <w:szCs w:val="24"/>
        </w:rPr>
        <w:t xml:space="preserve"> dont le thème porte sur « L’impact de la crise sécuritaire au Mali sur l’accès des populations aux services sociaux de base » avec la prise en charge des dernières observations formulées par les Agences du Système des Nations Unies. L’objectif général de l’étude est d’analyser l’impact de la crise sécuritaire sur l’accès des populations aux services sociaux de base. Plus spécifiquement, il s’agit :</w:t>
      </w:r>
    </w:p>
    <w:p w14:paraId="784D1ACA" w14:textId="77777777" w:rsidR="00E23E09" w:rsidRPr="00CB6A91" w:rsidRDefault="00E23E09" w:rsidP="00E23E09">
      <w:pPr>
        <w:numPr>
          <w:ilvl w:val="0"/>
          <w:numId w:val="18"/>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de faire l’état des lieux de la situation sécuritaire des personnes, des biens et des services sociaux de base ;</w:t>
      </w:r>
    </w:p>
    <w:p w14:paraId="41099FD5" w14:textId="77777777" w:rsidR="00E23E09" w:rsidRPr="00CB6A91" w:rsidRDefault="00E23E09" w:rsidP="00E23E09">
      <w:pPr>
        <w:numPr>
          <w:ilvl w:val="0"/>
          <w:numId w:val="18"/>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d’analyser l’évolution de l’accès aux principaux services sociaux de base sur la période 2011-2018, en faisant le lien entre la crise sécuritaire,  le développement humain durable et la lutte contre la pauvreté ;</w:t>
      </w:r>
    </w:p>
    <w:p w14:paraId="29459050" w14:textId="77777777" w:rsidR="00E23E09" w:rsidRPr="00CB6A91" w:rsidRDefault="00E23E09" w:rsidP="00E23E09">
      <w:pPr>
        <w:numPr>
          <w:ilvl w:val="0"/>
          <w:numId w:val="18"/>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de décrire l’état de fonctionnalité des infrastructures sociales de base en rapport avec la présence/absence de l’administration dans les zones ;</w:t>
      </w:r>
    </w:p>
    <w:p w14:paraId="6CBE100C" w14:textId="77777777" w:rsidR="00E23E09" w:rsidRPr="00CB6A91" w:rsidRDefault="00E23E09" w:rsidP="00E23E09">
      <w:pPr>
        <w:numPr>
          <w:ilvl w:val="0"/>
          <w:numId w:val="18"/>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d’identifier les difficultés et les mesures prises et celles en cours, pour améliorer la situation de l’accessibilité des populations aux services sociaux de base ;</w:t>
      </w:r>
    </w:p>
    <w:p w14:paraId="527A8509" w14:textId="77777777" w:rsidR="00E23E09" w:rsidRPr="00CB6A91" w:rsidRDefault="00E23E09" w:rsidP="00E23E09">
      <w:pPr>
        <w:numPr>
          <w:ilvl w:val="0"/>
          <w:numId w:val="18"/>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de formuler des recommandations en vue de l’amélioration de l’accessibilité aux services sociaux de base.</w:t>
      </w:r>
    </w:p>
    <w:p w14:paraId="414E7AAB" w14:textId="77777777" w:rsidR="00E23E09" w:rsidRPr="00CB6A91" w:rsidRDefault="00E23E09" w:rsidP="00E23E09">
      <w:pPr>
        <w:spacing w:after="0" w:line="240" w:lineRule="auto"/>
        <w:jc w:val="both"/>
        <w:rPr>
          <w:rFonts w:ascii="Arial Narrow" w:eastAsia="Arial Unicode MS" w:hAnsi="Arial Narrow"/>
          <w:sz w:val="24"/>
          <w:szCs w:val="24"/>
        </w:rPr>
      </w:pPr>
    </w:p>
    <w:p w14:paraId="7AC4C823" w14:textId="77777777" w:rsidR="00E23E09" w:rsidRPr="00CB6A91" w:rsidRDefault="00E23E09" w:rsidP="00E23E09">
      <w:pPr>
        <w:numPr>
          <w:ilvl w:val="0"/>
          <w:numId w:val="13"/>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Nouveau RNDH :</w:t>
      </w:r>
    </w:p>
    <w:p w14:paraId="6A3ED4A2" w14:textId="77777777" w:rsidR="00E23E09" w:rsidRPr="00CB6A91" w:rsidRDefault="00E23E09" w:rsidP="00E23E09">
      <w:pPr>
        <w:spacing w:after="0" w:line="240" w:lineRule="auto"/>
        <w:ind w:left="720"/>
        <w:jc w:val="both"/>
        <w:rPr>
          <w:rFonts w:ascii="Arial Narrow" w:eastAsia="Arial Unicode MS" w:hAnsi="Arial Narrow"/>
          <w:b/>
          <w:sz w:val="24"/>
          <w:szCs w:val="24"/>
        </w:rPr>
      </w:pPr>
    </w:p>
    <w:p w14:paraId="077036AD" w14:textId="77777777" w:rsidR="00E23E09" w:rsidRPr="00CB6A91" w:rsidRDefault="00E23E09" w:rsidP="00E23E09">
      <w:pPr>
        <w:numPr>
          <w:ilvl w:val="1"/>
          <w:numId w:val="13"/>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proposition de thèmes : il a été demandé aux membres du comité scientifique et de certaines personnes ressources de proposer des thèmes pour le RNDH de la même année. Ces propositions de thèmes ont été transmises à l’ODHD/LCP qui a fait leur synthèse avant le choix du thème par le Comité Scientifique ;</w:t>
      </w:r>
    </w:p>
    <w:p w14:paraId="76EE4CEE" w14:textId="77777777" w:rsidR="00E23E09" w:rsidRPr="00CB6A91" w:rsidRDefault="00E23E09" w:rsidP="00E23E09">
      <w:pPr>
        <w:numPr>
          <w:ilvl w:val="1"/>
          <w:numId w:val="13"/>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synthèse des thèmes proposés par les membres du Comité scientifique : au terme des échanges, des propositions ont été soumises à la réunion de choix définitif du Comité scientifique de l’ODHD/LCP ;</w:t>
      </w:r>
    </w:p>
    <w:p w14:paraId="2F0A4E9B" w14:textId="77777777" w:rsidR="00E23E09" w:rsidRPr="00CB6A91" w:rsidRDefault="00E23E09" w:rsidP="00E23E09">
      <w:pPr>
        <w:numPr>
          <w:ilvl w:val="1"/>
          <w:numId w:val="13"/>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choix du thème : le thème retenu par le Comité scientifique élargi de l’ODHD/LCP a été intitulé «</w:t>
      </w:r>
      <w:r w:rsidRPr="00CB6A91">
        <w:rPr>
          <w:rFonts w:ascii="Arial Narrow" w:eastAsia="Arial Unicode MS" w:hAnsi="Arial Narrow"/>
          <w:b/>
          <w:sz w:val="24"/>
          <w:szCs w:val="24"/>
        </w:rPr>
        <w:t>Distribution et redistribution du revenu au Mali et leurs impacts sur la pauvreté</w:t>
      </w:r>
      <w:r w:rsidRPr="00CB6A91">
        <w:rPr>
          <w:rFonts w:ascii="Arial Narrow" w:eastAsia="Arial Unicode MS" w:hAnsi="Arial Narrow"/>
          <w:sz w:val="24"/>
          <w:szCs w:val="24"/>
        </w:rPr>
        <w:t xml:space="preserve">»; </w:t>
      </w:r>
    </w:p>
    <w:p w14:paraId="39766BCC" w14:textId="77777777" w:rsidR="00E23E09" w:rsidRPr="00CB6A91" w:rsidRDefault="00E23E09" w:rsidP="00E23E09">
      <w:pPr>
        <w:numPr>
          <w:ilvl w:val="1"/>
          <w:numId w:val="13"/>
        </w:num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la validation des TDR du nouveau RNDH par le Comité scientifique élargi en ligne. L’objectif global de l’étude Analyser les inégalités sociales et l’impact des transferts et de la fiscalité sur les niveaux de vie des populations. De façon spécifique, il s’agit de :</w:t>
      </w:r>
    </w:p>
    <w:p w14:paraId="0F1242A2" w14:textId="77777777" w:rsidR="00E23E09" w:rsidRPr="00CB6A91" w:rsidRDefault="00E23E09" w:rsidP="00E23E09">
      <w:pPr>
        <w:spacing w:after="0" w:line="240" w:lineRule="auto"/>
        <w:ind w:left="1440"/>
        <w:jc w:val="both"/>
        <w:rPr>
          <w:rFonts w:ascii="Arial Narrow" w:eastAsia="Arial Unicode MS" w:hAnsi="Arial Narrow"/>
          <w:sz w:val="24"/>
          <w:szCs w:val="24"/>
        </w:rPr>
      </w:pPr>
    </w:p>
    <w:p w14:paraId="4A930C4E"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décrire les différentes formes d’inégalités sociales, de transferts et de fiscalité ;</w:t>
      </w:r>
    </w:p>
    <w:p w14:paraId="064BE2CF"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 xml:space="preserve">faire l’analyse de la structure fiscale en termes de distribution et de redistribution des revenus ; </w:t>
      </w:r>
    </w:p>
    <w:p w14:paraId="2848C3D7"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analyser les mécanismes des transferts sociaux en lien avec la réduction de la pauvreté ;</w:t>
      </w:r>
    </w:p>
    <w:p w14:paraId="0A8DE221"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évaluer l’impact des divers mécanismes de distribution et de redistribution sur le niveau de vie des populations ;</w:t>
      </w:r>
    </w:p>
    <w:p w14:paraId="0028C95C"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proposer un meilleur ciblage des transferts sociaux et des recommandations en vue d’améliorer la distribution et la redistribution des revenus.</w:t>
      </w:r>
    </w:p>
    <w:p w14:paraId="37C178D5" w14:textId="77777777" w:rsidR="00E23E09" w:rsidRPr="00CB6A91" w:rsidRDefault="00E23E09" w:rsidP="00E23E09">
      <w:pPr>
        <w:spacing w:after="0" w:line="240" w:lineRule="auto"/>
        <w:ind w:left="2484"/>
        <w:jc w:val="both"/>
        <w:rPr>
          <w:rFonts w:ascii="Arial Narrow" w:eastAsia="Arial Unicode MS" w:hAnsi="Arial Narrow"/>
          <w:sz w:val="24"/>
          <w:szCs w:val="24"/>
        </w:rPr>
      </w:pPr>
    </w:p>
    <w:p w14:paraId="144555E1" w14:textId="77777777" w:rsidR="00E23E09" w:rsidRPr="00CB6A91" w:rsidRDefault="00E23E09" w:rsidP="00E23E09">
      <w:pPr>
        <w:numPr>
          <w:ilvl w:val="0"/>
          <w:numId w:val="13"/>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 xml:space="preserve">Finalisation d’études thématiques </w:t>
      </w:r>
    </w:p>
    <w:p w14:paraId="42FC5A13" w14:textId="77777777" w:rsidR="00E23E09" w:rsidRPr="00CB6A91" w:rsidRDefault="00E23E09" w:rsidP="00E23E09">
      <w:pPr>
        <w:spacing w:after="0" w:line="240" w:lineRule="auto"/>
        <w:jc w:val="both"/>
        <w:rPr>
          <w:rFonts w:ascii="Arial Narrow" w:eastAsia="Arial Unicode MS" w:hAnsi="Arial Narrow"/>
          <w:b/>
          <w:sz w:val="24"/>
          <w:szCs w:val="24"/>
        </w:rPr>
      </w:pPr>
    </w:p>
    <w:p w14:paraId="661873BA" w14:textId="77777777" w:rsidR="00E23E09" w:rsidRPr="00CB6A91" w:rsidRDefault="00E23E09" w:rsidP="00E23E09">
      <w:p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 xml:space="preserve">Dans le cadre de cette activité, l’ODHD/LCP a finalisé les travaux d’élaboration de deux études et poursuivi l’étude sur la gouvernance des projets et programmes et deux autres études. </w:t>
      </w:r>
    </w:p>
    <w:p w14:paraId="531C84D4" w14:textId="77777777" w:rsidR="00E23E09" w:rsidRPr="00CB6A91" w:rsidRDefault="00E23E09" w:rsidP="00E23E09">
      <w:p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 xml:space="preserve"> </w:t>
      </w:r>
    </w:p>
    <w:p w14:paraId="0820A631" w14:textId="77777777" w:rsidR="00E23E09" w:rsidRPr="00CB6A91" w:rsidRDefault="00E23E09" w:rsidP="00E23E09">
      <w:pPr>
        <w:numPr>
          <w:ilvl w:val="0"/>
          <w:numId w:val="16"/>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Contribution du secteur informel à l’économie nationale et à la réduction de la pauvreté et des inégalités au Mali</w:t>
      </w:r>
    </w:p>
    <w:p w14:paraId="67944BDD" w14:textId="77777777" w:rsidR="00E23E09" w:rsidRPr="00CB6A91" w:rsidRDefault="00E23E09" w:rsidP="00E23E09">
      <w:pPr>
        <w:spacing w:after="0" w:line="240" w:lineRule="auto"/>
        <w:jc w:val="both"/>
        <w:rPr>
          <w:rFonts w:ascii="Arial Narrow" w:eastAsia="Arial Unicode MS" w:hAnsi="Arial Narrow"/>
          <w:sz w:val="24"/>
          <w:szCs w:val="24"/>
        </w:rPr>
      </w:pPr>
    </w:p>
    <w:p w14:paraId="3F2F419D" w14:textId="77777777" w:rsidR="00E23E09" w:rsidRPr="00CB6A91" w:rsidRDefault="00E23E09" w:rsidP="00E23E09">
      <w:p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 xml:space="preserve">L’ODHD/LCP a </w:t>
      </w:r>
      <w:r w:rsidRPr="00CB6A91">
        <w:rPr>
          <w:rFonts w:ascii="Arial Narrow" w:eastAsia="Arial Unicode MS" w:hAnsi="Arial Narrow"/>
          <w:bCs/>
          <w:sz w:val="24"/>
          <w:szCs w:val="24"/>
        </w:rPr>
        <w:t>finalisé le rapport de l’étude</w:t>
      </w:r>
      <w:r w:rsidRPr="00CB6A91">
        <w:rPr>
          <w:rFonts w:ascii="Arial Narrow" w:eastAsia="Arial Unicode MS" w:hAnsi="Arial Narrow"/>
          <w:sz w:val="24"/>
          <w:szCs w:val="24"/>
        </w:rPr>
        <w:t xml:space="preserve">. L’objectif général de l’étude est de déterminer l’apport du secteur informel à l’économie nationale, à la réduction de la pauvreté et des inégalités. De façon spécifique, il s’agit de : </w:t>
      </w:r>
    </w:p>
    <w:p w14:paraId="12F50632"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évaluer la contribution du secteur informel dans les différents secteurs d’activités de l’économie ;</w:t>
      </w:r>
    </w:p>
    <w:p w14:paraId="5CFB5DB1"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évaluer la contribution et les potentialités du secteur informel en matière de mobilisation des ressources fiscales ;</w:t>
      </w:r>
    </w:p>
    <w:p w14:paraId="32462B9D"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analyser la contribution du secteur informel dans la création d’emplois et la lutte contre la pauvreté et les inégalités ;</w:t>
      </w:r>
    </w:p>
    <w:p w14:paraId="4903F77B"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examiner les niveaux de protection sociale dans le secteur informel et les mesures de correction ;</w:t>
      </w:r>
    </w:p>
    <w:p w14:paraId="383A1488" w14:textId="77777777" w:rsidR="00E23E09" w:rsidRPr="00CB6A91" w:rsidRDefault="00E23E09" w:rsidP="00E23E09">
      <w:pPr>
        <w:numPr>
          <w:ilvl w:val="0"/>
          <w:numId w:val="19"/>
        </w:numPr>
        <w:spacing w:after="0" w:line="240" w:lineRule="auto"/>
        <w:ind w:left="2484"/>
        <w:jc w:val="both"/>
        <w:rPr>
          <w:rFonts w:ascii="Arial Narrow" w:eastAsia="Arial Unicode MS" w:hAnsi="Arial Narrow"/>
          <w:sz w:val="24"/>
          <w:szCs w:val="24"/>
        </w:rPr>
      </w:pPr>
      <w:r w:rsidRPr="00CB6A91">
        <w:rPr>
          <w:rFonts w:ascii="Arial Narrow" w:eastAsia="Arial Unicode MS" w:hAnsi="Arial Narrow"/>
          <w:sz w:val="24"/>
          <w:szCs w:val="24"/>
        </w:rPr>
        <w:t>proposer des mesures visant à mieux encadrer les activités du secteur informel dans le sens d’une meilleure intégration à l’économie formelle et la résorption du chômage.</w:t>
      </w:r>
    </w:p>
    <w:p w14:paraId="27327FFF" w14:textId="77777777" w:rsidR="00E23E09" w:rsidRPr="00CB6A91" w:rsidRDefault="00E23E09" w:rsidP="00E23E09">
      <w:pPr>
        <w:spacing w:after="0" w:line="240" w:lineRule="auto"/>
        <w:jc w:val="both"/>
        <w:rPr>
          <w:rFonts w:ascii="Arial Narrow" w:eastAsia="Arial Unicode MS" w:hAnsi="Arial Narrow"/>
          <w:sz w:val="24"/>
          <w:szCs w:val="24"/>
        </w:rPr>
      </w:pPr>
    </w:p>
    <w:p w14:paraId="57652444" w14:textId="77777777" w:rsidR="00E23E09" w:rsidRPr="00CB6A91" w:rsidRDefault="00E23E09" w:rsidP="00E23E09">
      <w:pPr>
        <w:numPr>
          <w:ilvl w:val="0"/>
          <w:numId w:val="16"/>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Analyse-diagnostic des inégalités entravant la croissance inclusive au Mali</w:t>
      </w:r>
    </w:p>
    <w:p w14:paraId="5E2D1B3E" w14:textId="77777777" w:rsidR="00E23E09" w:rsidRPr="00CB6A91" w:rsidRDefault="00E23E09" w:rsidP="00E23E09">
      <w:pPr>
        <w:spacing w:after="0" w:line="240" w:lineRule="auto"/>
        <w:jc w:val="both"/>
        <w:rPr>
          <w:rFonts w:ascii="Arial Narrow" w:eastAsia="Arial Unicode MS" w:hAnsi="Arial Narrow"/>
          <w:b/>
          <w:sz w:val="24"/>
          <w:szCs w:val="24"/>
        </w:rPr>
      </w:pPr>
    </w:p>
    <w:p w14:paraId="037B11DD" w14:textId="77777777" w:rsidR="00E23E09" w:rsidRPr="00CB6A91" w:rsidRDefault="00E23E09" w:rsidP="00E23E09">
      <w:p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 xml:space="preserve">L’ODHD/LCP a </w:t>
      </w:r>
      <w:r w:rsidRPr="00CB6A91">
        <w:rPr>
          <w:rFonts w:ascii="Arial Narrow" w:eastAsia="Arial Unicode MS" w:hAnsi="Arial Narrow"/>
          <w:bCs/>
          <w:sz w:val="24"/>
          <w:szCs w:val="24"/>
        </w:rPr>
        <w:t>finalisé le rapport de l’étude</w:t>
      </w:r>
      <w:r w:rsidRPr="00CB6A91">
        <w:rPr>
          <w:rFonts w:ascii="Arial Narrow" w:eastAsia="Arial Unicode MS" w:hAnsi="Arial Narrow"/>
          <w:sz w:val="24"/>
          <w:szCs w:val="24"/>
        </w:rPr>
        <w:t>. L’objectif est de proposer un rapport diagnostic des principales formes d’inégalités entravant le processus de croissance inclusive au Mali. Ce travail rentre dans le cadre du programme de recherche sur « inégalités et croissance inclusive au Mali », programme partenarial conclu entre l’Observatoire du Développement Humain Durable et de la Lutte Contre la Pauvreté (ODHD/LCP) et le Centre Universitaire de Recherche Economique et Sociale (CURES) de la Faculté des Sciences Economiques et de Gestion (FSEG) de l’Université des Sciences Sociales et de Gestion de Bamako (USSGB).</w:t>
      </w:r>
    </w:p>
    <w:p w14:paraId="2368F3D3" w14:textId="77777777" w:rsidR="00E23E09" w:rsidRPr="00CB6A91" w:rsidRDefault="00E23E09" w:rsidP="00E23E09">
      <w:pPr>
        <w:spacing w:after="0" w:line="240" w:lineRule="auto"/>
        <w:jc w:val="both"/>
        <w:rPr>
          <w:rFonts w:ascii="Arial Narrow" w:eastAsia="Arial Unicode MS" w:hAnsi="Arial Narrow"/>
          <w:b/>
          <w:sz w:val="24"/>
          <w:szCs w:val="24"/>
        </w:rPr>
      </w:pPr>
    </w:p>
    <w:p w14:paraId="0C5EA366" w14:textId="77777777" w:rsidR="00E23E09" w:rsidRPr="00CB6A91" w:rsidRDefault="00E23E09" w:rsidP="00E23E09">
      <w:pPr>
        <w:numPr>
          <w:ilvl w:val="0"/>
          <w:numId w:val="16"/>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Gouvernance des projets  et programmes publics de développement au Mali</w:t>
      </w:r>
    </w:p>
    <w:p w14:paraId="25AF26F2" w14:textId="77777777" w:rsidR="00E23E09" w:rsidRPr="00CB6A91" w:rsidRDefault="00E23E09" w:rsidP="00E23E09">
      <w:pPr>
        <w:spacing w:after="0" w:line="240" w:lineRule="auto"/>
        <w:jc w:val="both"/>
        <w:rPr>
          <w:rFonts w:ascii="Arial Narrow" w:eastAsia="Arial Unicode MS" w:hAnsi="Arial Narrow"/>
          <w:b/>
          <w:sz w:val="24"/>
          <w:szCs w:val="24"/>
        </w:rPr>
      </w:pPr>
    </w:p>
    <w:p w14:paraId="4B75CFCE" w14:textId="77777777" w:rsidR="00E23E09" w:rsidRPr="00CB6A91" w:rsidRDefault="00E23E09" w:rsidP="00E23E09">
      <w:pPr>
        <w:spacing w:after="0" w:line="240" w:lineRule="auto"/>
        <w:jc w:val="both"/>
        <w:rPr>
          <w:rFonts w:ascii="Arial Narrow" w:eastAsia="Arial Unicode MS" w:hAnsi="Arial Narrow"/>
          <w:sz w:val="24"/>
          <w:szCs w:val="24"/>
        </w:rPr>
      </w:pPr>
      <w:r w:rsidRPr="00CB6A91">
        <w:rPr>
          <w:rFonts w:ascii="Arial Narrow" w:eastAsia="Arial Unicode MS" w:hAnsi="Arial Narrow"/>
          <w:sz w:val="24"/>
          <w:szCs w:val="24"/>
        </w:rPr>
        <w:t>Examen technique du rapport provisoire. La finalité de l’étude est de contribuer à améliorer l’efficacité et l’efficience des projets/programmes publics de développement au Mali à travers l’amélioration de leur gouvernance, en mettant l’accent sur ces liens avec la réduction de la pauvreté et l’amélioration du développement humain durable. De façon spécifique, il s’agit de :</w:t>
      </w:r>
    </w:p>
    <w:p w14:paraId="01B1ED07" w14:textId="77777777" w:rsidR="00E23E09" w:rsidRPr="00CB6A91" w:rsidRDefault="00E23E09" w:rsidP="00E23E09">
      <w:pPr>
        <w:spacing w:after="0" w:line="240" w:lineRule="auto"/>
        <w:jc w:val="both"/>
        <w:rPr>
          <w:rFonts w:ascii="Arial Narrow" w:eastAsia="Arial Unicode MS" w:hAnsi="Arial Narrow"/>
          <w:sz w:val="24"/>
          <w:szCs w:val="24"/>
        </w:rPr>
      </w:pPr>
    </w:p>
    <w:p w14:paraId="21DEDB32"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faire l’historique des projets/programmes publics de développement au Mali de 2005 à nos jours ;</w:t>
      </w:r>
    </w:p>
    <w:p w14:paraId="7D8BC2BD"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recenser et analyser les différents modes de gestion des projets/programmes publics ;</w:t>
      </w:r>
    </w:p>
    <w:p w14:paraId="75BAB8A1"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dresser une cartographie des projets/programmes publics de développement au Mali, sur les plans national, régional et sectoriel ;</w:t>
      </w:r>
    </w:p>
    <w:p w14:paraId="1749EEF4"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décrire le profil des PTF intervenant dans le domaine des projets/programmes publics  de développement et les modes de financement ;</w:t>
      </w:r>
    </w:p>
    <w:p w14:paraId="0A60C0DD"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identifier les types de difficultés en matière de gouvernance que les projets/programmes de développement rencontrent au Mali  dans la conception, la mise en œuvre, et le suivi et l’évaluation (le cadre institutionnel d’administration de gestion des projets/programmes de développement, l’ancrage des unités de gestion, de la structuration et du staffing des unités de gestion et des questions liées aux négociations financières des personnels de projets/programmes) ;</w:t>
      </w:r>
    </w:p>
    <w:p w14:paraId="3CD396EE"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identifier les contraintes de la gouvernance des projets/programmes et leurs impacts sur la réduction de la pauvreté et l’amélioration du niveau de développement humain durable ;</w:t>
      </w:r>
    </w:p>
    <w:p w14:paraId="1C520E97" w14:textId="77777777" w:rsidR="00E23E09" w:rsidRPr="00CB6A91" w:rsidRDefault="00E23E09" w:rsidP="00E23E09">
      <w:pPr>
        <w:numPr>
          <w:ilvl w:val="1"/>
          <w:numId w:val="20"/>
        </w:numPr>
        <w:spacing w:after="0" w:line="240" w:lineRule="auto"/>
        <w:ind w:left="1276"/>
        <w:jc w:val="both"/>
        <w:rPr>
          <w:rFonts w:ascii="Arial Narrow" w:eastAsia="Arial Unicode MS" w:hAnsi="Arial Narrow"/>
          <w:sz w:val="24"/>
          <w:szCs w:val="24"/>
        </w:rPr>
      </w:pPr>
      <w:r w:rsidRPr="00CB6A91">
        <w:rPr>
          <w:rFonts w:ascii="Arial Narrow" w:eastAsia="Arial Unicode MS" w:hAnsi="Arial Narrow"/>
          <w:sz w:val="24"/>
          <w:szCs w:val="24"/>
        </w:rPr>
        <w:t>proposer des options de cadre institutionnel d’administration, (ancrage, structuration et options de staffing des unités de gestion et des incitations des personnels de projets/programmes) et formuler des recommandations en vue d’améliorer la gouvernance des projets/programmes de développement au Mali.</w:t>
      </w:r>
    </w:p>
    <w:p w14:paraId="13068070" w14:textId="77777777" w:rsidR="00E23E09" w:rsidRPr="00CB6A91" w:rsidRDefault="00E23E09" w:rsidP="00E23E09">
      <w:pPr>
        <w:spacing w:after="0" w:line="240" w:lineRule="auto"/>
        <w:jc w:val="both"/>
        <w:rPr>
          <w:rFonts w:ascii="Arial Narrow" w:eastAsia="Arial Unicode MS" w:hAnsi="Arial Narrow"/>
          <w:sz w:val="24"/>
          <w:szCs w:val="24"/>
        </w:rPr>
      </w:pPr>
    </w:p>
    <w:p w14:paraId="7B7A0A65" w14:textId="77777777" w:rsidR="00E23E09" w:rsidRPr="00CB6A91" w:rsidRDefault="00E23E09" w:rsidP="00E23E09">
      <w:pPr>
        <w:numPr>
          <w:ilvl w:val="0"/>
          <w:numId w:val="13"/>
        </w:numPr>
        <w:spacing w:after="0" w:line="240" w:lineRule="auto"/>
        <w:jc w:val="both"/>
        <w:rPr>
          <w:rFonts w:ascii="Arial Narrow" w:eastAsia="Arial Unicode MS" w:hAnsi="Arial Narrow"/>
          <w:b/>
          <w:sz w:val="24"/>
          <w:szCs w:val="24"/>
        </w:rPr>
      </w:pPr>
      <w:r w:rsidRPr="00CB6A91">
        <w:rPr>
          <w:rFonts w:ascii="Arial Narrow" w:eastAsia="Arial Unicode MS" w:hAnsi="Arial Narrow"/>
          <w:b/>
          <w:sz w:val="24"/>
          <w:szCs w:val="24"/>
        </w:rPr>
        <w:t>Elaboration de nouvelles études thématiques en 2020</w:t>
      </w:r>
    </w:p>
    <w:p w14:paraId="13EDD05C" w14:textId="77777777" w:rsidR="00E23E09" w:rsidRPr="00CB6A91" w:rsidRDefault="00E23E09" w:rsidP="00E23E09">
      <w:pPr>
        <w:pStyle w:val="Paragraphedeliste"/>
        <w:jc w:val="both"/>
        <w:rPr>
          <w:rFonts w:ascii="Arial Narrow" w:hAnsi="Arial Narrow"/>
          <w:b/>
        </w:rPr>
      </w:pPr>
    </w:p>
    <w:p w14:paraId="255F2314" w14:textId="77777777" w:rsidR="00E23E09" w:rsidRPr="00CB6A91" w:rsidRDefault="00E23E09" w:rsidP="00E23E09">
      <w:pPr>
        <w:pStyle w:val="Paragraphedeliste"/>
        <w:numPr>
          <w:ilvl w:val="0"/>
          <w:numId w:val="16"/>
        </w:numPr>
        <w:suppressAutoHyphens w:val="0"/>
        <w:jc w:val="both"/>
        <w:rPr>
          <w:rFonts w:ascii="Arial Narrow" w:hAnsi="Arial Narrow"/>
          <w:b/>
        </w:rPr>
      </w:pPr>
      <w:r w:rsidRPr="00CB6A91">
        <w:rPr>
          <w:rFonts w:ascii="Arial Narrow" w:hAnsi="Arial Narrow"/>
          <w:b/>
        </w:rPr>
        <w:t>Fiscalité des communes du Mali</w:t>
      </w:r>
    </w:p>
    <w:p w14:paraId="4DD17EF2" w14:textId="77777777" w:rsidR="00E23E09" w:rsidRPr="00CB6A91" w:rsidRDefault="00E23E09" w:rsidP="00E23E09">
      <w:pPr>
        <w:spacing w:after="0" w:line="240" w:lineRule="auto"/>
        <w:jc w:val="both"/>
        <w:rPr>
          <w:rFonts w:ascii="Arial Narrow" w:hAnsi="Arial Narrow"/>
          <w:bCs/>
          <w:sz w:val="24"/>
          <w:szCs w:val="24"/>
        </w:rPr>
      </w:pPr>
    </w:p>
    <w:p w14:paraId="78FFEB18" w14:textId="77777777" w:rsidR="00E23E09" w:rsidRPr="00CB6A91" w:rsidRDefault="00E23E09" w:rsidP="00E23E09">
      <w:pPr>
        <w:spacing w:after="0" w:line="240" w:lineRule="auto"/>
        <w:jc w:val="both"/>
        <w:rPr>
          <w:rFonts w:ascii="Arial Narrow" w:hAnsi="Arial Narrow"/>
          <w:bCs/>
          <w:sz w:val="24"/>
          <w:szCs w:val="24"/>
        </w:rPr>
      </w:pPr>
      <w:r w:rsidRPr="00CB6A91">
        <w:rPr>
          <w:rFonts w:ascii="Arial Narrow" w:hAnsi="Arial Narrow"/>
          <w:bCs/>
          <w:sz w:val="24"/>
          <w:szCs w:val="24"/>
        </w:rPr>
        <w:t>L’élaboration et la validation des TDR de l’étude. L’objectif général de l’étude est d’explorer l’adéquation entre fiscalité des communes et dépenses budgétaires des communes en lien avec le développement humain durable. De manière spécifique, l’étude vise à :</w:t>
      </w:r>
    </w:p>
    <w:p w14:paraId="0CEAE81D" w14:textId="77777777" w:rsidR="00E23E09" w:rsidRPr="00CB6A91" w:rsidRDefault="00E23E09" w:rsidP="00E23E09">
      <w:pPr>
        <w:pStyle w:val="Paragraphedeliste"/>
        <w:numPr>
          <w:ilvl w:val="1"/>
          <w:numId w:val="23"/>
        </w:numPr>
        <w:suppressAutoHyphens w:val="0"/>
        <w:jc w:val="both"/>
        <w:rPr>
          <w:rFonts w:ascii="Arial Narrow" w:eastAsia="Arial Unicode MS" w:hAnsi="Arial Narrow"/>
        </w:rPr>
      </w:pPr>
      <w:r w:rsidRPr="00CB6A91">
        <w:rPr>
          <w:rFonts w:ascii="Arial Narrow" w:eastAsia="Arial Unicode MS" w:hAnsi="Arial Narrow"/>
        </w:rPr>
        <w:t>identifier les différents acteurs intervenant dans la fiscalité des communes et leurs rôles;</w:t>
      </w:r>
    </w:p>
    <w:p w14:paraId="2AD765B2" w14:textId="77777777" w:rsidR="00E23E09" w:rsidRPr="00CB6A91" w:rsidRDefault="00E23E09" w:rsidP="00E23E09">
      <w:pPr>
        <w:pStyle w:val="Paragraphedeliste"/>
        <w:numPr>
          <w:ilvl w:val="1"/>
          <w:numId w:val="23"/>
        </w:numPr>
        <w:suppressAutoHyphens w:val="0"/>
        <w:jc w:val="both"/>
        <w:rPr>
          <w:rFonts w:ascii="Arial Narrow" w:eastAsia="Arial Unicode MS" w:hAnsi="Arial Narrow"/>
        </w:rPr>
      </w:pPr>
      <w:r w:rsidRPr="00CB6A91">
        <w:rPr>
          <w:rFonts w:ascii="Arial Narrow" w:eastAsia="Arial Unicode MS" w:hAnsi="Arial Narrow"/>
        </w:rPr>
        <w:t>faire une analyse stratégique (Forces, Faiblesses, Menaces et Opportunités) de la fiscalité des communes ;</w:t>
      </w:r>
    </w:p>
    <w:p w14:paraId="24652A3E" w14:textId="77777777" w:rsidR="00E23E09" w:rsidRPr="00CB6A91" w:rsidRDefault="00E23E09" w:rsidP="00E23E09">
      <w:pPr>
        <w:pStyle w:val="Paragraphedeliste"/>
        <w:numPr>
          <w:ilvl w:val="1"/>
          <w:numId w:val="23"/>
        </w:numPr>
        <w:suppressAutoHyphens w:val="0"/>
        <w:jc w:val="both"/>
        <w:rPr>
          <w:rFonts w:ascii="Arial Narrow" w:eastAsia="Arial Unicode MS" w:hAnsi="Arial Narrow"/>
        </w:rPr>
      </w:pPr>
      <w:r w:rsidRPr="00CB6A91">
        <w:rPr>
          <w:rFonts w:ascii="Arial Narrow" w:eastAsia="Arial Unicode MS" w:hAnsi="Arial Narrow"/>
        </w:rPr>
        <w:t>analyser le cadre législatif et règlementaire de la fiscalité des communes ;</w:t>
      </w:r>
    </w:p>
    <w:p w14:paraId="5812586D" w14:textId="77777777" w:rsidR="00E23E09" w:rsidRPr="00CB6A91" w:rsidRDefault="00E23E09" w:rsidP="00E23E09">
      <w:pPr>
        <w:pStyle w:val="Paragraphedeliste"/>
        <w:numPr>
          <w:ilvl w:val="1"/>
          <w:numId w:val="23"/>
        </w:numPr>
        <w:suppressAutoHyphens w:val="0"/>
        <w:jc w:val="both"/>
        <w:rPr>
          <w:rFonts w:ascii="Arial Narrow" w:eastAsia="Arial Unicode MS" w:hAnsi="Arial Narrow"/>
        </w:rPr>
      </w:pPr>
      <w:r w:rsidRPr="00CB6A91">
        <w:rPr>
          <w:rFonts w:ascii="Arial Narrow" w:eastAsia="Arial Unicode MS" w:hAnsi="Arial Narrow"/>
        </w:rPr>
        <w:t>faire ressortir le lien entre investissement dans les services sociaux de base et la fiscalité des communes ;</w:t>
      </w:r>
    </w:p>
    <w:p w14:paraId="52D72783" w14:textId="77777777" w:rsidR="00E23E09" w:rsidRPr="00CB6A91" w:rsidRDefault="00E23E09" w:rsidP="00E23E09">
      <w:pPr>
        <w:pStyle w:val="Paragraphedeliste"/>
        <w:numPr>
          <w:ilvl w:val="1"/>
          <w:numId w:val="23"/>
        </w:numPr>
        <w:suppressAutoHyphens w:val="0"/>
        <w:jc w:val="both"/>
        <w:rPr>
          <w:rFonts w:ascii="Arial Narrow" w:eastAsia="Arial Unicode MS" w:hAnsi="Arial Narrow"/>
        </w:rPr>
      </w:pPr>
      <w:r w:rsidRPr="00CB6A91">
        <w:rPr>
          <w:rFonts w:ascii="Arial Narrow" w:eastAsia="Arial Unicode MS" w:hAnsi="Arial Narrow"/>
        </w:rPr>
        <w:t>formuler des recommandations pour une bonne maitrise de la fiscalité communes au Mali.</w:t>
      </w:r>
    </w:p>
    <w:p w14:paraId="2313A53B" w14:textId="77777777" w:rsidR="00E23E09" w:rsidRPr="00CB6A91" w:rsidRDefault="00E23E09" w:rsidP="00E23E09">
      <w:pPr>
        <w:spacing w:after="0" w:line="240" w:lineRule="auto"/>
        <w:jc w:val="both"/>
        <w:rPr>
          <w:rFonts w:ascii="Arial Narrow" w:eastAsia="Arial Unicode MS" w:hAnsi="Arial Narrow"/>
          <w:sz w:val="24"/>
          <w:szCs w:val="24"/>
        </w:rPr>
      </w:pPr>
    </w:p>
    <w:p w14:paraId="43B69DB4" w14:textId="77777777" w:rsidR="00E23E09" w:rsidRPr="00CB6A91" w:rsidRDefault="00E23E09" w:rsidP="00E23E09">
      <w:pPr>
        <w:spacing w:after="0" w:line="240" w:lineRule="auto"/>
        <w:jc w:val="both"/>
        <w:rPr>
          <w:rFonts w:ascii="Arial Narrow" w:eastAsia="Arial Unicode MS" w:hAnsi="Arial Narrow"/>
          <w:sz w:val="24"/>
          <w:szCs w:val="24"/>
        </w:rPr>
      </w:pPr>
    </w:p>
    <w:p w14:paraId="4FCCD0FD" w14:textId="77777777" w:rsidR="00E23E09" w:rsidRPr="00CB6A91" w:rsidRDefault="00E23E09" w:rsidP="00E23E09">
      <w:pPr>
        <w:pStyle w:val="Paragraphedeliste"/>
        <w:numPr>
          <w:ilvl w:val="0"/>
          <w:numId w:val="16"/>
        </w:numPr>
        <w:suppressAutoHyphens w:val="0"/>
        <w:jc w:val="both"/>
        <w:rPr>
          <w:rFonts w:ascii="Arial Narrow" w:hAnsi="Arial Narrow"/>
          <w:b/>
        </w:rPr>
      </w:pPr>
      <w:r w:rsidRPr="00CB6A91">
        <w:rPr>
          <w:rFonts w:ascii="Arial Narrow" w:hAnsi="Arial Narrow"/>
          <w:b/>
        </w:rPr>
        <w:t>Analyse de la dynamique Changement Climatique – Développement Humain Durable</w:t>
      </w:r>
    </w:p>
    <w:p w14:paraId="7F7A6880" w14:textId="77777777" w:rsidR="00E23E09" w:rsidRPr="00CB6A91" w:rsidRDefault="00E23E09" w:rsidP="00E23E09">
      <w:pPr>
        <w:spacing w:after="0" w:line="240" w:lineRule="auto"/>
        <w:jc w:val="both"/>
        <w:rPr>
          <w:rFonts w:ascii="Arial Narrow" w:hAnsi="Arial Narrow"/>
          <w:b/>
          <w:bCs/>
          <w:sz w:val="24"/>
          <w:szCs w:val="24"/>
        </w:rPr>
      </w:pPr>
    </w:p>
    <w:p w14:paraId="1607FA9A" w14:textId="77777777" w:rsidR="00E23E09" w:rsidRPr="00CB6A91" w:rsidRDefault="00E23E09" w:rsidP="00E23E09">
      <w:pPr>
        <w:spacing w:after="0" w:line="240" w:lineRule="auto"/>
        <w:jc w:val="both"/>
        <w:rPr>
          <w:rFonts w:ascii="Arial Narrow" w:hAnsi="Arial Narrow"/>
          <w:bCs/>
          <w:sz w:val="24"/>
          <w:szCs w:val="24"/>
        </w:rPr>
      </w:pPr>
      <w:r w:rsidRPr="00CB6A91">
        <w:rPr>
          <w:rFonts w:ascii="Arial Narrow" w:hAnsi="Arial Narrow"/>
          <w:bCs/>
          <w:sz w:val="24"/>
          <w:szCs w:val="24"/>
        </w:rPr>
        <w:t>L’élaboration et la validation des TDR de l’étude. L’objectif général de l’étude est Faire ressortir les liens entre les Changements Climatiques, le développement humain durable et la pauvreté. Il s’agit de :</w:t>
      </w:r>
    </w:p>
    <w:p w14:paraId="4B25A269" w14:textId="77777777" w:rsidR="00E23E09" w:rsidRPr="00CB6A91" w:rsidRDefault="00E23E09" w:rsidP="00E23E09">
      <w:pPr>
        <w:spacing w:after="0" w:line="240" w:lineRule="auto"/>
        <w:jc w:val="both"/>
        <w:rPr>
          <w:rFonts w:ascii="Arial Narrow" w:hAnsi="Arial Narrow"/>
          <w:bCs/>
          <w:sz w:val="24"/>
          <w:szCs w:val="24"/>
        </w:rPr>
      </w:pPr>
    </w:p>
    <w:p w14:paraId="7DD48662"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 xml:space="preserve">identifier les facteurs anthropiques et naturels conduisant aux changements climatiques; </w:t>
      </w:r>
    </w:p>
    <w:p w14:paraId="5D34618D"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 xml:space="preserve">faire l’analyse des actions et des mesures entreprises dans le domaine du changement climatique ; </w:t>
      </w:r>
    </w:p>
    <w:p w14:paraId="3D8F331E"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analyser les principaux défis et possibilités pour prendre des mesures de lutte contre les changements climatiques ;</w:t>
      </w:r>
    </w:p>
    <w:p w14:paraId="39A8D805" w14:textId="77777777" w:rsidR="00E23E09" w:rsidRPr="00CB6A91" w:rsidRDefault="00E23E09" w:rsidP="00E23E09">
      <w:pPr>
        <w:pStyle w:val="Paragraphedeliste"/>
        <w:numPr>
          <w:ilvl w:val="1"/>
          <w:numId w:val="24"/>
        </w:numPr>
        <w:suppressAutoHyphens w:val="0"/>
        <w:jc w:val="both"/>
        <w:rPr>
          <w:rFonts w:ascii="Arial Narrow" w:hAnsi="Arial Narrow"/>
          <w:bCs/>
        </w:rPr>
      </w:pPr>
      <w:r w:rsidRPr="00CB6A91">
        <w:rPr>
          <w:rFonts w:ascii="Arial Narrow" w:eastAsia="Arial Unicode MS" w:hAnsi="Arial Narrow"/>
        </w:rPr>
        <w:t>identifier les effets du changement climatique sur les secteurs de l’économie en mettant l’accent sur le</w:t>
      </w:r>
      <w:r w:rsidRPr="00CB6A91">
        <w:rPr>
          <w:rFonts w:ascii="Arial Narrow" w:hAnsi="Arial Narrow"/>
          <w:b/>
          <w:bCs/>
        </w:rPr>
        <w:t xml:space="preserve"> </w:t>
      </w:r>
      <w:r w:rsidRPr="00CB6A91">
        <w:rPr>
          <w:rFonts w:ascii="Arial Narrow" w:hAnsi="Arial Narrow"/>
          <w:bCs/>
        </w:rPr>
        <w:t>secteur primaire ;</w:t>
      </w:r>
    </w:p>
    <w:p w14:paraId="1D7414A8"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identifier et décrire les effets du changement climatique sur le développement humain durable ;</w:t>
      </w:r>
    </w:p>
    <w:p w14:paraId="09492689"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 xml:space="preserve">identifier les principales sources de financement relatives aux changements climatiques; </w:t>
      </w:r>
    </w:p>
    <w:p w14:paraId="5657FD68" w14:textId="77777777" w:rsidR="00E23E09" w:rsidRPr="00CB6A91" w:rsidRDefault="00E23E09" w:rsidP="00E23E09">
      <w:pPr>
        <w:pStyle w:val="Paragraphedeliste"/>
        <w:numPr>
          <w:ilvl w:val="1"/>
          <w:numId w:val="24"/>
        </w:numPr>
        <w:suppressAutoHyphens w:val="0"/>
        <w:jc w:val="both"/>
        <w:rPr>
          <w:rFonts w:ascii="Arial Narrow" w:eastAsia="Arial Unicode MS" w:hAnsi="Arial Narrow"/>
        </w:rPr>
      </w:pPr>
      <w:r w:rsidRPr="00CB6A91">
        <w:rPr>
          <w:rFonts w:ascii="Arial Narrow" w:eastAsia="Arial Unicode MS" w:hAnsi="Arial Narrow"/>
        </w:rPr>
        <w:t>proposer des recommandations pour l’atténuation et d’adaptation des effets du changement climatique sur le développement.</w:t>
      </w:r>
    </w:p>
    <w:p w14:paraId="08A15BFF" w14:textId="77777777" w:rsidR="00E23E09" w:rsidRPr="00CB6A91" w:rsidRDefault="00E23E09" w:rsidP="00E23E09">
      <w:pPr>
        <w:spacing w:after="0" w:line="240" w:lineRule="auto"/>
        <w:jc w:val="both"/>
        <w:rPr>
          <w:rFonts w:ascii="Arial Narrow" w:hAnsi="Arial Narrow"/>
          <w:b/>
          <w:bCs/>
          <w:sz w:val="24"/>
          <w:szCs w:val="24"/>
        </w:rPr>
      </w:pPr>
    </w:p>
    <w:p w14:paraId="3152F79D" w14:textId="77777777" w:rsidR="00E23E09" w:rsidRDefault="00E23E09" w:rsidP="00E23E09">
      <w:pPr>
        <w:jc w:val="both"/>
        <w:rPr>
          <w:rFonts w:ascii="Arial Narrow" w:hAnsi="Arial Narrow"/>
          <w:b/>
          <w:bCs/>
          <w:sz w:val="24"/>
          <w:szCs w:val="24"/>
        </w:rPr>
      </w:pPr>
      <w:r w:rsidRPr="00CB6A91">
        <w:rPr>
          <w:rFonts w:ascii="Arial Narrow" w:hAnsi="Arial Narrow"/>
          <w:b/>
          <w:bCs/>
          <w:sz w:val="24"/>
          <w:szCs w:val="24"/>
        </w:rPr>
        <w:t>En perspectives, il faut noter la collecte, le traitement et l’analyse des collectées dans les communes et localités, l’impression et la diffusion du RNDH, édition 2020 et les autres études finalisées, la poursuite de la production du nouveau RNDH et des nouvelles études thématiques retenues.</w:t>
      </w:r>
    </w:p>
    <w:p w14:paraId="56F221CB" w14:textId="77777777" w:rsidR="00E23E09" w:rsidRDefault="00E23E09" w:rsidP="00E23E09">
      <w:pPr>
        <w:pStyle w:val="Paragraphedeliste"/>
        <w:numPr>
          <w:ilvl w:val="1"/>
          <w:numId w:val="4"/>
        </w:numPr>
        <w:jc w:val="both"/>
        <w:rPr>
          <w:rFonts w:ascii="Arial Narrow" w:hAnsi="Arial Narrow"/>
          <w:b/>
        </w:rPr>
      </w:pPr>
      <w:r w:rsidRPr="00E23E09">
        <w:rPr>
          <w:rFonts w:ascii="Arial Narrow" w:eastAsia="Arial Unicode MS" w:hAnsi="Arial Narrow"/>
          <w:b/>
          <w:sz w:val="26"/>
          <w:szCs w:val="26"/>
        </w:rPr>
        <w:t>Difficultés</w:t>
      </w:r>
      <w:r w:rsidRPr="00E23E09">
        <w:rPr>
          <w:rFonts w:ascii="Arial Narrow" w:hAnsi="Arial Narrow"/>
          <w:b/>
        </w:rPr>
        <w:t xml:space="preserve"> de mise en œuvre</w:t>
      </w:r>
    </w:p>
    <w:p w14:paraId="220747D5" w14:textId="77777777" w:rsidR="00D328CB" w:rsidRDefault="00D328CB" w:rsidP="00E23E09">
      <w:pPr>
        <w:jc w:val="both"/>
        <w:rPr>
          <w:rFonts w:ascii="Arial Narrow" w:eastAsia="Arial Unicode MS" w:hAnsi="Arial Narrow"/>
          <w:sz w:val="24"/>
          <w:szCs w:val="24"/>
        </w:rPr>
      </w:pPr>
    </w:p>
    <w:p w14:paraId="0C5B7D1D" w14:textId="77777777" w:rsidR="00E23E09" w:rsidRDefault="00E23E09" w:rsidP="00E23E09">
      <w:pPr>
        <w:jc w:val="both"/>
        <w:rPr>
          <w:rFonts w:ascii="Arial Narrow" w:hAnsi="Arial Narrow"/>
          <w:b/>
        </w:rPr>
      </w:pPr>
      <w:r w:rsidRPr="005142C0">
        <w:rPr>
          <w:rFonts w:ascii="Arial Narrow" w:eastAsia="Arial Unicode MS" w:hAnsi="Arial Narrow"/>
          <w:sz w:val="24"/>
          <w:szCs w:val="24"/>
          <w:highlight w:val="green"/>
        </w:rPr>
        <w:t>La principale difficulté est la faible dotation financière accordée à l’ODHD/LCP dans le cadre du budget de 2020 du PAGER et la survenue de la maladie à coronavirus, entravant la mise en œuvre des activités</w:t>
      </w:r>
    </w:p>
    <w:p w14:paraId="2CDB86FF" w14:textId="77777777" w:rsidR="00E23E09" w:rsidRPr="00E23E09" w:rsidRDefault="00E23E09" w:rsidP="00E23E09">
      <w:pPr>
        <w:jc w:val="both"/>
        <w:rPr>
          <w:rFonts w:ascii="Arial Narrow" w:hAnsi="Arial Narrow"/>
          <w:b/>
        </w:rPr>
      </w:pPr>
    </w:p>
    <w:p w14:paraId="7CD6A6B8" w14:textId="77777777" w:rsidR="00CF4997" w:rsidRPr="000E5300" w:rsidRDefault="00CF4997" w:rsidP="0077293C">
      <w:pPr>
        <w:pStyle w:val="Paragraphedeliste"/>
        <w:numPr>
          <w:ilvl w:val="0"/>
          <w:numId w:val="4"/>
        </w:numPr>
        <w:suppressAutoHyphens w:val="0"/>
        <w:ind w:firstLine="0"/>
        <w:jc w:val="both"/>
        <w:outlineLvl w:val="1"/>
        <w:rPr>
          <w:rFonts w:ascii="Arial Narrow" w:hAnsi="Arial Narrow"/>
          <w:b/>
          <w:color w:val="00B050"/>
        </w:rPr>
      </w:pPr>
      <w:bookmarkStart w:id="7" w:name="_Toc501029053"/>
      <w:bookmarkStart w:id="8" w:name="_Toc536706910"/>
      <w:bookmarkStart w:id="9" w:name="_Toc48742283"/>
      <w:r w:rsidRPr="000E5300">
        <w:rPr>
          <w:rFonts w:ascii="Arial Narrow" w:hAnsi="Arial Narrow"/>
          <w:b/>
          <w:color w:val="00B050"/>
        </w:rPr>
        <w:t>SECRETARIAT A L’HARMONISATION DE L’AIDE (SHA)</w:t>
      </w:r>
      <w:bookmarkEnd w:id="7"/>
      <w:bookmarkEnd w:id="8"/>
      <w:bookmarkEnd w:id="9"/>
    </w:p>
    <w:p w14:paraId="51C6E8FD" w14:textId="77777777" w:rsidR="00CF4997" w:rsidRDefault="00CF4997" w:rsidP="005749B2">
      <w:pPr>
        <w:rPr>
          <w:rFonts w:ascii="Arial Narrow" w:hAnsi="Arial Narrow"/>
        </w:rPr>
      </w:pPr>
    </w:p>
    <w:p w14:paraId="56E50D66" w14:textId="77777777" w:rsidR="0077293C" w:rsidRPr="001976C3" w:rsidRDefault="0077293C" w:rsidP="0077293C">
      <w:pPr>
        <w:jc w:val="both"/>
        <w:rPr>
          <w:rFonts w:ascii="Arial Narrow" w:eastAsia="Calibri" w:hAnsi="Arial Narrow"/>
          <w:sz w:val="24"/>
          <w:szCs w:val="24"/>
        </w:rPr>
      </w:pPr>
      <w:r w:rsidRPr="001976C3">
        <w:rPr>
          <w:rFonts w:ascii="Arial Narrow" w:eastAsia="Calibri" w:hAnsi="Arial Narrow"/>
          <w:sz w:val="24"/>
          <w:szCs w:val="24"/>
        </w:rPr>
        <w:t>En application de la mesure de la prorogation du PAGER, le Secrétariat à l’Harmonisation de l’Aide (SHA) a été saisi par le Comité technique du PAGEM pour proposer des activités phares réalisables au cours du premier semestre de l’année 2020.</w:t>
      </w:r>
    </w:p>
    <w:p w14:paraId="2C3FD394" w14:textId="77777777" w:rsidR="0077293C" w:rsidRPr="001976C3" w:rsidRDefault="0077293C" w:rsidP="0077293C">
      <w:pPr>
        <w:jc w:val="both"/>
        <w:rPr>
          <w:rFonts w:ascii="Arial Narrow" w:eastAsia="Calibri" w:hAnsi="Arial Narrow"/>
          <w:sz w:val="24"/>
          <w:szCs w:val="24"/>
        </w:rPr>
      </w:pPr>
      <w:r w:rsidRPr="001976C3">
        <w:rPr>
          <w:rFonts w:ascii="Arial Narrow" w:eastAsia="Calibri" w:hAnsi="Arial Narrow"/>
          <w:sz w:val="24"/>
          <w:szCs w:val="24"/>
        </w:rPr>
        <w:t xml:space="preserve">A cet effet, dans le cadre de l’exécution de son Plan de Travail Annuel 2020, </w:t>
      </w:r>
      <w:r w:rsidRPr="001976C3">
        <w:rPr>
          <w:rFonts w:ascii="Arial Narrow" w:hAnsi="Arial Narrow"/>
          <w:sz w:val="24"/>
          <w:szCs w:val="24"/>
        </w:rPr>
        <w:t xml:space="preserve">le SHA avait proposé les trois (03) activités suivantes susceptibles d’être réalisées sur la période de mars-juin 2020 : </w:t>
      </w:r>
    </w:p>
    <w:p w14:paraId="27A4A038" w14:textId="77777777" w:rsidR="0077293C" w:rsidRPr="001976C3" w:rsidRDefault="0077293C" w:rsidP="0077293C">
      <w:pPr>
        <w:pStyle w:val="Paragraphedeliste"/>
        <w:numPr>
          <w:ilvl w:val="0"/>
          <w:numId w:val="27"/>
        </w:numPr>
        <w:suppressAutoHyphens w:val="0"/>
        <w:spacing w:after="200" w:line="276" w:lineRule="auto"/>
        <w:jc w:val="both"/>
        <w:rPr>
          <w:rFonts w:ascii="Arial Narrow" w:hAnsi="Arial Narrow"/>
        </w:rPr>
      </w:pPr>
      <w:r w:rsidRPr="001976C3">
        <w:rPr>
          <w:rFonts w:ascii="Arial Narrow" w:hAnsi="Arial Narrow"/>
        </w:rPr>
        <w:t xml:space="preserve"> Soutenir le dispositif de financement des collectivités territoriales à travers l’Appui Budgétaire Décentralisé (Coût 5 000 $) ;</w:t>
      </w:r>
    </w:p>
    <w:p w14:paraId="71A35ACF" w14:textId="77777777" w:rsidR="0077293C" w:rsidRPr="001976C3" w:rsidRDefault="0077293C" w:rsidP="0077293C">
      <w:pPr>
        <w:pStyle w:val="Paragraphedeliste"/>
        <w:numPr>
          <w:ilvl w:val="0"/>
          <w:numId w:val="27"/>
        </w:numPr>
        <w:suppressAutoHyphens w:val="0"/>
        <w:spacing w:after="200" w:line="276" w:lineRule="auto"/>
        <w:jc w:val="both"/>
        <w:rPr>
          <w:rFonts w:ascii="Arial Narrow" w:hAnsi="Arial Narrow"/>
        </w:rPr>
      </w:pPr>
      <w:r w:rsidRPr="001976C3">
        <w:rPr>
          <w:rFonts w:ascii="Arial Narrow" w:hAnsi="Arial Narrow"/>
        </w:rPr>
        <w:t xml:space="preserve"> Rendre fonctionnel et animer le SIGAP (Système Intégré de Gestion de l’Aide Publique) Coût 25 000 $ ; et</w:t>
      </w:r>
    </w:p>
    <w:p w14:paraId="22DFA891" w14:textId="77777777" w:rsidR="0077293C" w:rsidRPr="001976C3" w:rsidRDefault="0077293C" w:rsidP="0077293C">
      <w:pPr>
        <w:pStyle w:val="Paragraphedeliste"/>
        <w:numPr>
          <w:ilvl w:val="0"/>
          <w:numId w:val="27"/>
        </w:numPr>
        <w:suppressAutoHyphens w:val="0"/>
        <w:spacing w:after="200" w:line="276" w:lineRule="auto"/>
        <w:jc w:val="both"/>
        <w:rPr>
          <w:rFonts w:ascii="Arial Narrow" w:hAnsi="Arial Narrow"/>
        </w:rPr>
      </w:pPr>
      <w:r w:rsidRPr="001976C3">
        <w:rPr>
          <w:rFonts w:ascii="Arial Narrow" w:hAnsi="Arial Narrow"/>
        </w:rPr>
        <w:t xml:space="preserve"> Elaborer et diffuser le CRMT (Cadre des Ressources externes à Moyen-Terme) Exercice 2019-2021 (Coût 25 000 $).</w:t>
      </w:r>
    </w:p>
    <w:p w14:paraId="795295C5" w14:textId="77777777" w:rsidR="0077293C" w:rsidRPr="001976C3" w:rsidRDefault="0077293C" w:rsidP="0077293C">
      <w:pPr>
        <w:jc w:val="both"/>
        <w:rPr>
          <w:rFonts w:ascii="Arial Narrow" w:eastAsia="Calibri" w:hAnsi="Arial Narrow"/>
          <w:sz w:val="24"/>
          <w:szCs w:val="24"/>
        </w:rPr>
      </w:pPr>
      <w:r w:rsidRPr="005142C0">
        <w:rPr>
          <w:rFonts w:ascii="Arial Narrow" w:hAnsi="Arial Narrow"/>
          <w:sz w:val="24"/>
          <w:szCs w:val="24"/>
          <w:highlight w:val="green"/>
        </w:rPr>
        <w:t>En définitive, après examen du plan de travail annuel par le PNUD et des échanges qui s’en sont suivis, une seule activité a été retenue au profit du SHA pour le 1</w:t>
      </w:r>
      <w:r w:rsidRPr="005142C0">
        <w:rPr>
          <w:rFonts w:ascii="Arial Narrow" w:hAnsi="Arial Narrow"/>
          <w:sz w:val="24"/>
          <w:szCs w:val="24"/>
          <w:highlight w:val="green"/>
          <w:vertAlign w:val="superscript"/>
        </w:rPr>
        <w:t>er</w:t>
      </w:r>
      <w:r w:rsidRPr="005142C0">
        <w:rPr>
          <w:rFonts w:ascii="Arial Narrow" w:hAnsi="Arial Narrow"/>
          <w:sz w:val="24"/>
          <w:szCs w:val="24"/>
          <w:highlight w:val="green"/>
        </w:rPr>
        <w:t xml:space="preserve"> semestre 2020  (Elaboration et diffusion du CRMT, pour un coût de 25 000 $ programmée). La  prestation y afférente avait été réalisée en fin 2019 et le règlement a été effectué en 2020.</w:t>
      </w:r>
      <w:r w:rsidRPr="001976C3">
        <w:rPr>
          <w:rFonts w:ascii="Arial Narrow" w:hAnsi="Arial Narrow"/>
          <w:sz w:val="24"/>
          <w:szCs w:val="24"/>
        </w:rPr>
        <w:t xml:space="preserve">  </w:t>
      </w:r>
    </w:p>
    <w:p w14:paraId="70489143" w14:textId="77777777" w:rsidR="0077293C" w:rsidRPr="001976C3" w:rsidRDefault="0077293C" w:rsidP="0077293C">
      <w:pPr>
        <w:jc w:val="both"/>
        <w:rPr>
          <w:rFonts w:ascii="Arial Narrow" w:eastAsia="Calibri" w:hAnsi="Arial Narrow"/>
          <w:sz w:val="24"/>
          <w:szCs w:val="24"/>
        </w:rPr>
      </w:pPr>
      <w:r w:rsidRPr="001976C3">
        <w:rPr>
          <w:rFonts w:ascii="Arial Narrow" w:eastAsia="Calibri" w:hAnsi="Arial Narrow"/>
          <w:sz w:val="24"/>
          <w:szCs w:val="24"/>
        </w:rPr>
        <w:t>En terme</w:t>
      </w:r>
      <w:r w:rsidR="00C02E0B">
        <w:rPr>
          <w:rFonts w:ascii="Arial Narrow" w:eastAsia="Calibri" w:hAnsi="Arial Narrow"/>
          <w:sz w:val="24"/>
          <w:szCs w:val="24"/>
        </w:rPr>
        <w:t>s</w:t>
      </w:r>
      <w:r w:rsidRPr="001976C3">
        <w:rPr>
          <w:rFonts w:ascii="Arial Narrow" w:eastAsia="Calibri" w:hAnsi="Arial Narrow"/>
          <w:sz w:val="24"/>
          <w:szCs w:val="24"/>
        </w:rPr>
        <w:t xml:space="preserve"> de perspectives, le SHA envisage, d’ici la fin du mois de septembre 2020, la réalisation de l’activité suivante, tout en tenant compte du contexte actuel marqué notamment par la pandémie de Covid-19 :</w:t>
      </w:r>
    </w:p>
    <w:p w14:paraId="2AF9AA5B" w14:textId="77777777" w:rsidR="0077293C" w:rsidRPr="001976C3" w:rsidRDefault="0077293C" w:rsidP="0077293C">
      <w:pPr>
        <w:jc w:val="both"/>
        <w:rPr>
          <w:rFonts w:ascii="Arial Narrow" w:hAnsi="Arial Narrow"/>
          <w:sz w:val="24"/>
          <w:szCs w:val="24"/>
        </w:rPr>
      </w:pPr>
      <w:r w:rsidRPr="001976C3">
        <w:rPr>
          <w:rFonts w:ascii="Arial Narrow" w:hAnsi="Arial Narrow"/>
          <w:sz w:val="24"/>
          <w:szCs w:val="24"/>
        </w:rPr>
        <w:t>« Soutenir le dispositif de financement des collectivités territoriales à travers l’Appui Budgétaire Décentralisé » (Coût 5 000 $).</w:t>
      </w:r>
    </w:p>
    <w:p w14:paraId="47093801" w14:textId="77777777" w:rsidR="0077293C" w:rsidRPr="001976C3" w:rsidRDefault="00706FA9" w:rsidP="0077293C">
      <w:pPr>
        <w:jc w:val="both"/>
        <w:rPr>
          <w:rFonts w:ascii="Arial Narrow" w:hAnsi="Arial Narrow"/>
          <w:sz w:val="24"/>
          <w:szCs w:val="24"/>
        </w:rPr>
      </w:pPr>
      <w:r w:rsidRPr="008F2A63">
        <w:rPr>
          <w:rFonts w:ascii="Arial Narrow" w:hAnsi="Arial Narrow"/>
          <w:sz w:val="24"/>
          <w:szCs w:val="24"/>
        </w:rPr>
        <w:t>Le SHA souhaiterait également solliciter un appui logistique à son fonctionnement, par l’acquisition d’un véhicule Toyota Hilux double cabine</w:t>
      </w:r>
      <w:r w:rsidR="0077293C" w:rsidRPr="008F2A63">
        <w:rPr>
          <w:rFonts w:ascii="Arial Narrow" w:hAnsi="Arial Narrow"/>
          <w:sz w:val="24"/>
          <w:szCs w:val="24"/>
        </w:rPr>
        <w:t>.</w:t>
      </w:r>
      <w:r w:rsidR="0077293C" w:rsidRPr="001976C3">
        <w:rPr>
          <w:rFonts w:ascii="Arial Narrow" w:hAnsi="Arial Narrow"/>
          <w:sz w:val="24"/>
          <w:szCs w:val="24"/>
        </w:rPr>
        <w:t xml:space="preserve"> </w:t>
      </w:r>
    </w:p>
    <w:p w14:paraId="47B65B20" w14:textId="77777777" w:rsidR="00CF4997" w:rsidRDefault="0077293C" w:rsidP="005749B2">
      <w:pPr>
        <w:rPr>
          <w:rFonts w:ascii="Arial Narrow" w:hAnsi="Arial Narrow"/>
        </w:rPr>
      </w:pPr>
      <w:r w:rsidRPr="001976C3">
        <w:rPr>
          <w:rFonts w:ascii="Arial Narrow" w:hAnsi="Arial Narrow"/>
          <w:sz w:val="24"/>
          <w:szCs w:val="24"/>
        </w:rPr>
        <w:t>Le SHA réitère ses vifs remerciements au PNUD pour la qualité de la collaboration et réaffirme sa disponibilité pour le raffermissement de ces liens.</w:t>
      </w:r>
    </w:p>
    <w:p w14:paraId="39D2AF85" w14:textId="77777777" w:rsidR="0044783C" w:rsidRDefault="0044783C" w:rsidP="005749B2">
      <w:pPr>
        <w:rPr>
          <w:rFonts w:ascii="Arial Narrow" w:hAnsi="Arial Narrow"/>
        </w:rPr>
      </w:pPr>
    </w:p>
    <w:p w14:paraId="62A45370" w14:textId="77777777" w:rsidR="00CF4997" w:rsidRPr="000E5300" w:rsidRDefault="00CF4997" w:rsidP="00E15C85">
      <w:pPr>
        <w:pStyle w:val="Paragraphedeliste"/>
        <w:numPr>
          <w:ilvl w:val="0"/>
          <w:numId w:val="4"/>
        </w:numPr>
        <w:suppressAutoHyphens w:val="0"/>
        <w:ind w:firstLine="0"/>
        <w:jc w:val="both"/>
        <w:outlineLvl w:val="0"/>
        <w:rPr>
          <w:rFonts w:ascii="Arial Narrow" w:hAnsi="Arial Narrow"/>
          <w:b/>
          <w:color w:val="00B050"/>
        </w:rPr>
      </w:pPr>
      <w:bookmarkStart w:id="10" w:name="_Toc536706911"/>
      <w:bookmarkStart w:id="11" w:name="_Toc48742284"/>
      <w:r w:rsidRPr="000E5300">
        <w:rPr>
          <w:rFonts w:ascii="Arial Narrow" w:hAnsi="Arial Narrow"/>
          <w:b/>
          <w:color w:val="00B050"/>
        </w:rPr>
        <w:t>DIRECTION DE LA COOPERATION MULTILATERALE (DCM)</w:t>
      </w:r>
      <w:bookmarkEnd w:id="10"/>
      <w:bookmarkEnd w:id="11"/>
    </w:p>
    <w:p w14:paraId="5521CC86" w14:textId="77777777" w:rsidR="00CF4997" w:rsidRDefault="00CF4997" w:rsidP="005749B2">
      <w:pPr>
        <w:rPr>
          <w:rFonts w:ascii="Arial Narrow" w:hAnsi="Arial Narrow"/>
        </w:rPr>
      </w:pPr>
    </w:p>
    <w:p w14:paraId="0CB00C8C" w14:textId="77777777" w:rsidR="0077293C" w:rsidRPr="0044783C" w:rsidRDefault="0077293C" w:rsidP="0077293C">
      <w:pPr>
        <w:jc w:val="both"/>
        <w:rPr>
          <w:rFonts w:ascii="Arial Narrow" w:hAnsi="Arial Narrow"/>
          <w:sz w:val="24"/>
          <w:szCs w:val="24"/>
        </w:rPr>
      </w:pPr>
      <w:r w:rsidRPr="0044783C">
        <w:rPr>
          <w:rFonts w:ascii="Arial Narrow" w:hAnsi="Arial Narrow"/>
          <w:sz w:val="24"/>
          <w:szCs w:val="24"/>
        </w:rPr>
        <w:t xml:space="preserve">Le présent rapport d’activité couvre la période allant du 1 </w:t>
      </w:r>
      <w:r w:rsidRPr="0044783C">
        <w:rPr>
          <w:rFonts w:ascii="Arial Narrow" w:hAnsi="Arial Narrow"/>
          <w:sz w:val="24"/>
          <w:szCs w:val="24"/>
          <w:vertAlign w:val="superscript"/>
        </w:rPr>
        <w:t>er</w:t>
      </w:r>
      <w:r w:rsidRPr="0044783C">
        <w:rPr>
          <w:rFonts w:ascii="Arial Narrow" w:hAnsi="Arial Narrow"/>
          <w:sz w:val="24"/>
          <w:szCs w:val="24"/>
        </w:rPr>
        <w:t xml:space="preserve"> Avril 2020 au 30 juin 2020 et fait le point des activités phares réalisées par la  Direction de la Coopération Multilatérale au cours de la période considérée, dans le cadre du Programme d’appui à la Gouvernance, à la Résilience Economique pour la Réduction de la pauvreté(PAGER). Il vise notamment à rendre compte du niveau d’exécution des activités programmées,  du niveau d’atteinte des objectifs de la période et des résultats enregistrés. De même, le rapport donne des indications sur les aspects financiers, notamment les décaissements et les dépenses.</w:t>
      </w:r>
    </w:p>
    <w:p w14:paraId="58DDFE7F" w14:textId="77777777" w:rsidR="0077293C" w:rsidRPr="0044783C" w:rsidRDefault="0077293C" w:rsidP="0077293C">
      <w:pPr>
        <w:jc w:val="both"/>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 xml:space="preserve"> Les activités phares réalisées par la DCM  pendant le second trimestre  2020 (Avril à Juin) sont indiquées comme  suit :</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244"/>
      </w:tblGrid>
      <w:tr w:rsidR="0077293C" w:rsidRPr="0044783C" w14:paraId="1F363D8E" w14:textId="77777777" w:rsidTr="001976C3">
        <w:trPr>
          <w:trHeight w:val="56"/>
        </w:trPr>
        <w:tc>
          <w:tcPr>
            <w:tcW w:w="4395" w:type="dxa"/>
          </w:tcPr>
          <w:p w14:paraId="57792B59" w14:textId="77777777" w:rsidR="0077293C" w:rsidRPr="0044783C" w:rsidRDefault="0077293C" w:rsidP="00454CA8">
            <w:pPr>
              <w:pStyle w:val="TableParagraph"/>
              <w:rPr>
                <w:rFonts w:ascii="Arial Narrow" w:hAnsi="Arial Narrow" w:cs="Times New Roman"/>
                <w:b/>
                <w:sz w:val="24"/>
                <w:szCs w:val="24"/>
                <w:lang w:val="fr-FR"/>
              </w:rPr>
            </w:pPr>
          </w:p>
          <w:p w14:paraId="5E80CDAC" w14:textId="77777777" w:rsidR="0077293C" w:rsidRPr="0044783C" w:rsidRDefault="0077293C" w:rsidP="00454CA8">
            <w:pPr>
              <w:pStyle w:val="TableParagraph"/>
              <w:ind w:left="855" w:hanging="704"/>
              <w:jc w:val="center"/>
              <w:rPr>
                <w:rFonts w:ascii="Arial Narrow" w:hAnsi="Arial Narrow" w:cs="Times New Roman"/>
                <w:b/>
                <w:sz w:val="24"/>
                <w:szCs w:val="24"/>
              </w:rPr>
            </w:pPr>
            <w:r w:rsidRPr="0044783C">
              <w:rPr>
                <w:rFonts w:ascii="Arial Narrow" w:hAnsi="Arial Narrow" w:cs="Times New Roman"/>
                <w:b/>
                <w:sz w:val="24"/>
                <w:szCs w:val="24"/>
              </w:rPr>
              <w:t>ACTIVITE</w:t>
            </w:r>
          </w:p>
        </w:tc>
        <w:tc>
          <w:tcPr>
            <w:tcW w:w="5244" w:type="dxa"/>
          </w:tcPr>
          <w:p w14:paraId="0E5F1F3F" w14:textId="77777777" w:rsidR="0077293C" w:rsidRPr="0044783C" w:rsidRDefault="0077293C" w:rsidP="00454CA8">
            <w:pPr>
              <w:pStyle w:val="TableParagraph"/>
              <w:rPr>
                <w:rFonts w:ascii="Arial Narrow" w:hAnsi="Arial Narrow" w:cs="Times New Roman"/>
                <w:b/>
                <w:sz w:val="24"/>
                <w:szCs w:val="24"/>
              </w:rPr>
            </w:pPr>
          </w:p>
          <w:p w14:paraId="723E6C9B" w14:textId="77777777" w:rsidR="0077293C" w:rsidRPr="0044783C" w:rsidRDefault="0077293C" w:rsidP="00454CA8">
            <w:pPr>
              <w:pStyle w:val="TableParagraph"/>
              <w:ind w:left="281"/>
              <w:jc w:val="center"/>
              <w:rPr>
                <w:rFonts w:ascii="Arial Narrow" w:hAnsi="Arial Narrow" w:cs="Times New Roman"/>
                <w:b/>
                <w:sz w:val="24"/>
                <w:szCs w:val="24"/>
              </w:rPr>
            </w:pPr>
            <w:r w:rsidRPr="0044783C">
              <w:rPr>
                <w:rFonts w:ascii="Arial Narrow" w:hAnsi="Arial Narrow" w:cs="Times New Roman"/>
                <w:b/>
                <w:sz w:val="24"/>
                <w:szCs w:val="24"/>
              </w:rPr>
              <w:t>Etat d’avancement</w:t>
            </w:r>
          </w:p>
          <w:p w14:paraId="5FD96367" w14:textId="77777777" w:rsidR="0077293C" w:rsidRPr="0044783C" w:rsidRDefault="0077293C" w:rsidP="00454CA8">
            <w:pPr>
              <w:pStyle w:val="TableParagraph"/>
              <w:rPr>
                <w:rFonts w:ascii="Arial Narrow" w:hAnsi="Arial Narrow" w:cs="Times New Roman"/>
                <w:b/>
                <w:sz w:val="24"/>
                <w:szCs w:val="24"/>
              </w:rPr>
            </w:pPr>
          </w:p>
          <w:p w14:paraId="31C7523E" w14:textId="77777777" w:rsidR="0077293C" w:rsidRPr="0044783C" w:rsidRDefault="0077293C" w:rsidP="00454CA8">
            <w:pPr>
              <w:rPr>
                <w:rFonts w:ascii="Arial Narrow" w:hAnsi="Arial Narrow"/>
                <w:b/>
                <w:sz w:val="24"/>
                <w:szCs w:val="24"/>
                <w:lang w:eastAsia="fr-FR" w:bidi="fr-FR"/>
              </w:rPr>
            </w:pPr>
          </w:p>
          <w:p w14:paraId="46AAD69C" w14:textId="77777777" w:rsidR="0077293C" w:rsidRPr="0044783C" w:rsidRDefault="0077293C" w:rsidP="00454CA8">
            <w:pPr>
              <w:rPr>
                <w:rFonts w:ascii="Arial Narrow" w:hAnsi="Arial Narrow"/>
                <w:b/>
                <w:sz w:val="24"/>
                <w:szCs w:val="24"/>
                <w:lang w:eastAsia="fr-FR" w:bidi="fr-FR"/>
              </w:rPr>
            </w:pPr>
          </w:p>
          <w:p w14:paraId="22F80075" w14:textId="77777777" w:rsidR="0077293C" w:rsidRPr="0044783C" w:rsidRDefault="0077293C" w:rsidP="00454CA8">
            <w:pPr>
              <w:rPr>
                <w:rFonts w:ascii="Arial Narrow" w:hAnsi="Arial Narrow"/>
                <w:b/>
                <w:sz w:val="24"/>
                <w:szCs w:val="24"/>
                <w:lang w:eastAsia="fr-FR" w:bidi="fr-FR"/>
              </w:rPr>
            </w:pPr>
          </w:p>
        </w:tc>
      </w:tr>
      <w:tr w:rsidR="0077293C" w:rsidRPr="0044783C" w14:paraId="158E377C" w14:textId="77777777" w:rsidTr="00454CA8">
        <w:trPr>
          <w:trHeight w:val="2435"/>
        </w:trPr>
        <w:tc>
          <w:tcPr>
            <w:tcW w:w="4395" w:type="dxa"/>
          </w:tcPr>
          <w:p w14:paraId="7EE43B23" w14:textId="77777777" w:rsidR="0077293C" w:rsidRPr="0044783C" w:rsidRDefault="0077293C" w:rsidP="00454CA8">
            <w:pPr>
              <w:pStyle w:val="TableParagraph"/>
              <w:spacing w:before="7"/>
              <w:rPr>
                <w:rFonts w:ascii="Arial Narrow" w:hAnsi="Arial Narrow" w:cs="Times New Roman"/>
                <w:sz w:val="24"/>
                <w:szCs w:val="24"/>
                <w:lang w:val="fr-FR"/>
              </w:rPr>
            </w:pPr>
          </w:p>
          <w:p w14:paraId="14BDA3A8" w14:textId="77777777" w:rsidR="0077293C" w:rsidRPr="0044783C" w:rsidRDefault="0077293C" w:rsidP="00454CA8">
            <w:pPr>
              <w:pStyle w:val="TableParagraph"/>
              <w:ind w:left="107" w:right="372"/>
              <w:rPr>
                <w:rFonts w:ascii="Arial Narrow" w:hAnsi="Arial Narrow" w:cs="Times New Roman"/>
                <w:sz w:val="24"/>
                <w:szCs w:val="24"/>
                <w:lang w:val="fr-FR"/>
              </w:rPr>
            </w:pPr>
            <w:r w:rsidRPr="005142C0">
              <w:rPr>
                <w:rFonts w:ascii="Arial Narrow" w:eastAsiaTheme="minorHAnsi" w:hAnsi="Arial Narrow" w:cs="Times New Roman"/>
                <w:b/>
                <w:sz w:val="24"/>
                <w:szCs w:val="24"/>
                <w:highlight w:val="green"/>
                <w:lang w:val="fr-FR" w:eastAsia="en-US" w:bidi="ar-SA"/>
              </w:rPr>
              <w:t>Finaliser l'élaboration  du rapport sur la coopération au développement 2018 et produire le rapport sur la coopération au développement 2019 (élaboration et impression)</w:t>
            </w:r>
          </w:p>
        </w:tc>
        <w:tc>
          <w:tcPr>
            <w:tcW w:w="5244" w:type="dxa"/>
          </w:tcPr>
          <w:p w14:paraId="4A3C13E9" w14:textId="77777777" w:rsidR="0077293C" w:rsidRPr="0044783C" w:rsidRDefault="0077293C" w:rsidP="00454CA8">
            <w:pPr>
              <w:pStyle w:val="TableParagraph"/>
              <w:rPr>
                <w:rFonts w:ascii="Arial Narrow" w:hAnsi="Arial Narrow" w:cs="Times New Roman"/>
                <w:sz w:val="24"/>
                <w:szCs w:val="24"/>
                <w:lang w:val="fr-FR"/>
              </w:rPr>
            </w:pPr>
          </w:p>
          <w:p w14:paraId="7DD4AE1A" w14:textId="77777777" w:rsidR="0077293C" w:rsidRPr="0044783C" w:rsidRDefault="0077293C" w:rsidP="00454CA8">
            <w:pPr>
              <w:pStyle w:val="TableParagraph"/>
              <w:rPr>
                <w:rFonts w:ascii="Arial Narrow" w:hAnsi="Arial Narrow" w:cs="Times New Roman"/>
                <w:sz w:val="24"/>
                <w:szCs w:val="24"/>
                <w:lang w:val="fr-FR"/>
              </w:rPr>
            </w:pPr>
            <w:r w:rsidRPr="0044783C">
              <w:rPr>
                <w:rFonts w:ascii="Arial Narrow" w:hAnsi="Arial Narrow" w:cs="Times New Roman"/>
                <w:sz w:val="24"/>
                <w:szCs w:val="24"/>
                <w:lang w:val="fr-FR"/>
              </w:rPr>
              <w:t>Le rapport de l’étude sur la coopération au développement 2018 est disponible.</w:t>
            </w:r>
          </w:p>
          <w:p w14:paraId="63282131" w14:textId="77777777" w:rsidR="0077293C" w:rsidRPr="0044783C" w:rsidRDefault="0077293C" w:rsidP="00454CA8">
            <w:pPr>
              <w:pStyle w:val="TableParagraph"/>
              <w:rPr>
                <w:rFonts w:ascii="Arial Narrow" w:hAnsi="Arial Narrow" w:cs="Times New Roman"/>
                <w:sz w:val="24"/>
                <w:szCs w:val="24"/>
                <w:lang w:val="fr-FR"/>
              </w:rPr>
            </w:pPr>
            <w:r w:rsidRPr="0044783C">
              <w:rPr>
                <w:rFonts w:ascii="Arial Narrow" w:hAnsi="Arial Narrow" w:cs="Times New Roman"/>
                <w:sz w:val="24"/>
                <w:szCs w:val="24"/>
                <w:lang w:val="fr-FR"/>
              </w:rPr>
              <w:t>Pour l’élaboration de celui de 2019, un Consultant a été recruté pour l’élaboration du rapport sur la coopération au développement 2019. Selon le chronogramme  pour l’élaboration du RCD 2019, le document devrait être disponible en fin septembre</w:t>
            </w:r>
            <w:r w:rsidR="00C60726">
              <w:rPr>
                <w:rFonts w:ascii="Arial Narrow" w:hAnsi="Arial Narrow" w:cs="Times New Roman"/>
                <w:sz w:val="24"/>
                <w:szCs w:val="24"/>
                <w:lang w:val="fr-FR"/>
              </w:rPr>
              <w:t xml:space="preserve"> 2020</w:t>
            </w:r>
            <w:r w:rsidRPr="0044783C">
              <w:rPr>
                <w:rFonts w:ascii="Arial Narrow" w:hAnsi="Arial Narrow" w:cs="Times New Roman"/>
                <w:sz w:val="24"/>
                <w:szCs w:val="24"/>
                <w:lang w:val="fr-FR"/>
              </w:rPr>
              <w:t>.</w:t>
            </w:r>
          </w:p>
        </w:tc>
      </w:tr>
    </w:tbl>
    <w:p w14:paraId="0BF34BFE" w14:textId="77777777" w:rsidR="0077293C" w:rsidRPr="00E56C2C" w:rsidRDefault="0077293C" w:rsidP="0077293C">
      <w:pPr>
        <w:jc w:val="both"/>
        <w:rPr>
          <w:rFonts w:ascii="Times New Roman" w:hAnsi="Times New Roman"/>
          <w:sz w:val="24"/>
          <w:szCs w:val="24"/>
        </w:rPr>
      </w:pPr>
    </w:p>
    <w:p w14:paraId="0FB70EBE" w14:textId="77777777" w:rsidR="0077293C" w:rsidRPr="0044783C" w:rsidRDefault="0077293C" w:rsidP="0077293C">
      <w:pPr>
        <w:spacing w:after="0" w:line="240" w:lineRule="auto"/>
        <w:jc w:val="both"/>
        <w:rPr>
          <w:rFonts w:ascii="Arial Narrow" w:hAnsi="Arial Narrow"/>
          <w:b/>
          <w:sz w:val="24"/>
          <w:szCs w:val="24"/>
        </w:rPr>
      </w:pPr>
      <w:r w:rsidRPr="0044783C">
        <w:rPr>
          <w:rFonts w:ascii="Arial Narrow" w:hAnsi="Arial Narrow"/>
          <w:b/>
          <w:sz w:val="24"/>
          <w:szCs w:val="24"/>
        </w:rPr>
        <w:t>Contraintes et difficultés rencontrées</w:t>
      </w:r>
    </w:p>
    <w:p w14:paraId="7CBD3CBA" w14:textId="77777777" w:rsidR="0077293C" w:rsidRPr="0044783C" w:rsidRDefault="0077293C" w:rsidP="0077293C">
      <w:pPr>
        <w:spacing w:after="0" w:line="240" w:lineRule="auto"/>
        <w:jc w:val="both"/>
        <w:rPr>
          <w:rFonts w:ascii="Arial Narrow" w:hAnsi="Arial Narrow"/>
          <w:sz w:val="24"/>
          <w:szCs w:val="24"/>
        </w:rPr>
      </w:pPr>
    </w:p>
    <w:p w14:paraId="02CFA422" w14:textId="77777777" w:rsidR="0077293C" w:rsidRPr="00E56C2C" w:rsidRDefault="0077293C" w:rsidP="0077293C">
      <w:pPr>
        <w:spacing w:after="0" w:line="240" w:lineRule="auto"/>
        <w:jc w:val="both"/>
        <w:rPr>
          <w:rFonts w:ascii="Times New Roman" w:hAnsi="Times New Roman"/>
          <w:sz w:val="24"/>
          <w:szCs w:val="24"/>
        </w:rPr>
      </w:pPr>
      <w:r w:rsidRPr="0044783C">
        <w:rPr>
          <w:rFonts w:ascii="Arial Narrow" w:hAnsi="Arial Narrow"/>
          <w:sz w:val="24"/>
          <w:szCs w:val="24"/>
        </w:rPr>
        <w:t>La mise en œuvre des activités a souffert des contraintes liées à la maladie à coronavirus.</w:t>
      </w:r>
    </w:p>
    <w:p w14:paraId="72D869DD" w14:textId="77777777" w:rsidR="00822572" w:rsidRDefault="0077293C" w:rsidP="0077293C">
      <w:pPr>
        <w:jc w:val="both"/>
        <w:rPr>
          <w:rFonts w:ascii="Times New Roman" w:hAnsi="Times New Roman"/>
          <w:sz w:val="24"/>
          <w:szCs w:val="24"/>
          <w:highlight w:val="yellow"/>
        </w:rPr>
        <w:sectPr w:rsidR="00822572" w:rsidSect="00F24B6A">
          <w:footerReference w:type="default" r:id="rId10"/>
          <w:pgSz w:w="11906" w:h="16838"/>
          <w:pgMar w:top="1440" w:right="1440" w:bottom="1440" w:left="1440" w:header="709" w:footer="709" w:gutter="0"/>
          <w:cols w:space="708"/>
          <w:docGrid w:linePitch="360"/>
        </w:sectPr>
      </w:pPr>
      <w:r w:rsidRPr="00E56C2C">
        <w:rPr>
          <w:rFonts w:ascii="Times New Roman" w:hAnsi="Times New Roman"/>
          <w:sz w:val="24"/>
          <w:szCs w:val="24"/>
          <w:highlight w:val="yellow"/>
        </w:rPr>
        <w:br w:type="page"/>
      </w:r>
    </w:p>
    <w:p w14:paraId="7362485B" w14:textId="77777777" w:rsidR="0077293C" w:rsidRPr="00E56C2C" w:rsidRDefault="0077293C" w:rsidP="0077293C">
      <w:pPr>
        <w:jc w:val="both"/>
        <w:rPr>
          <w:rFonts w:ascii="Times New Roman" w:hAnsi="Times New Roman"/>
          <w:sz w:val="24"/>
          <w:szCs w:val="24"/>
        </w:rPr>
      </w:pPr>
    </w:p>
    <w:p w14:paraId="1C7ED2C2" w14:textId="77777777" w:rsidR="0077293C" w:rsidRPr="00E56C2C" w:rsidRDefault="0077293C" w:rsidP="0077293C">
      <w:pPr>
        <w:jc w:val="center"/>
        <w:rPr>
          <w:rFonts w:ascii="Times New Roman" w:hAnsi="Times New Roman"/>
          <w:sz w:val="24"/>
          <w:szCs w:val="24"/>
        </w:rPr>
      </w:pPr>
      <w:r w:rsidRPr="00E56C2C">
        <w:rPr>
          <w:rFonts w:ascii="Times New Roman" w:hAnsi="Times New Roman"/>
          <w:b/>
          <w:sz w:val="24"/>
          <w:szCs w:val="24"/>
          <w:u w:val="single"/>
        </w:rPr>
        <w:t>SUIVI BUDGETAIRE  DES ACTIVITES PHARES PAGER/DCM (AVRIL A JUIN 2020)</w:t>
      </w:r>
    </w:p>
    <w:p w14:paraId="48680E27" w14:textId="77777777" w:rsidR="0077293C" w:rsidRPr="00E56C2C" w:rsidRDefault="0077293C" w:rsidP="0077293C">
      <w:pPr>
        <w:tabs>
          <w:tab w:val="left" w:pos="4920"/>
        </w:tabs>
        <w:jc w:val="center"/>
        <w:rPr>
          <w:rFonts w:ascii="Times New Roman" w:eastAsia="Times New Roman" w:hAnsi="Times New Roman"/>
          <w:i/>
          <w:sz w:val="24"/>
          <w:szCs w:val="24"/>
          <w:lang w:eastAsia="fr-FR"/>
        </w:rPr>
      </w:pPr>
    </w:p>
    <w:tbl>
      <w:tblPr>
        <w:tblW w:w="5000" w:type="pct"/>
        <w:tblCellMar>
          <w:left w:w="70" w:type="dxa"/>
          <w:right w:w="70" w:type="dxa"/>
        </w:tblCellMar>
        <w:tblLook w:val="04A0" w:firstRow="1" w:lastRow="0" w:firstColumn="1" w:lastColumn="0" w:noHBand="0" w:noVBand="1"/>
      </w:tblPr>
      <w:tblGrid>
        <w:gridCol w:w="6642"/>
        <w:gridCol w:w="1127"/>
        <w:gridCol w:w="1127"/>
        <w:gridCol w:w="1333"/>
        <w:gridCol w:w="1366"/>
        <w:gridCol w:w="1196"/>
        <w:gridCol w:w="1152"/>
      </w:tblGrid>
      <w:tr w:rsidR="0077293C" w:rsidRPr="0044783C" w14:paraId="141121BC" w14:textId="77777777" w:rsidTr="0044783C">
        <w:trPr>
          <w:trHeight w:val="1425"/>
        </w:trPr>
        <w:tc>
          <w:tcPr>
            <w:tcW w:w="2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AF3D86A"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Description</w:t>
            </w:r>
          </w:p>
        </w:tc>
        <w:tc>
          <w:tcPr>
            <w:tcW w:w="404" w:type="pct"/>
            <w:tcBorders>
              <w:top w:val="single" w:sz="8" w:space="0" w:color="auto"/>
              <w:left w:val="nil"/>
              <w:bottom w:val="single" w:sz="4" w:space="0" w:color="auto"/>
              <w:right w:val="single" w:sz="4" w:space="0" w:color="auto"/>
            </w:tcBorders>
            <w:shd w:val="clear" w:color="auto" w:fill="auto"/>
            <w:vAlign w:val="center"/>
            <w:hideMark/>
          </w:tcPr>
          <w:p w14:paraId="57C24A13"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Acompt</w:t>
            </w:r>
          </w:p>
        </w:tc>
        <w:tc>
          <w:tcPr>
            <w:tcW w:w="404" w:type="pct"/>
            <w:tcBorders>
              <w:top w:val="single" w:sz="8" w:space="0" w:color="auto"/>
              <w:left w:val="nil"/>
              <w:bottom w:val="single" w:sz="4" w:space="0" w:color="auto"/>
              <w:right w:val="single" w:sz="4" w:space="0" w:color="auto"/>
            </w:tcBorders>
            <w:shd w:val="clear" w:color="auto" w:fill="auto"/>
            <w:vAlign w:val="center"/>
            <w:hideMark/>
          </w:tcPr>
          <w:p w14:paraId="53A0A680"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Funds</w:t>
            </w:r>
          </w:p>
        </w:tc>
        <w:tc>
          <w:tcPr>
            <w:tcW w:w="478" w:type="pct"/>
            <w:tcBorders>
              <w:top w:val="single" w:sz="8" w:space="0" w:color="auto"/>
              <w:left w:val="nil"/>
              <w:bottom w:val="single" w:sz="4" w:space="0" w:color="auto"/>
              <w:right w:val="single" w:sz="4" w:space="0" w:color="auto"/>
            </w:tcBorders>
            <w:shd w:val="clear" w:color="auto" w:fill="auto"/>
            <w:vAlign w:val="center"/>
            <w:hideMark/>
          </w:tcPr>
          <w:p w14:paraId="5520500B"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Montant budgétisé</w:t>
            </w:r>
          </w:p>
        </w:tc>
        <w:tc>
          <w:tcPr>
            <w:tcW w:w="490" w:type="pct"/>
            <w:tcBorders>
              <w:top w:val="single" w:sz="8" w:space="0" w:color="auto"/>
              <w:left w:val="nil"/>
              <w:bottom w:val="single" w:sz="4" w:space="0" w:color="auto"/>
              <w:right w:val="single" w:sz="4" w:space="0" w:color="auto"/>
            </w:tcBorders>
            <w:shd w:val="clear" w:color="auto" w:fill="auto"/>
            <w:vAlign w:val="center"/>
            <w:hideMark/>
          </w:tcPr>
          <w:p w14:paraId="53ABA424"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Dépenses de la période au 11 Août 2020</w:t>
            </w:r>
          </w:p>
        </w:tc>
        <w:tc>
          <w:tcPr>
            <w:tcW w:w="429" w:type="pct"/>
            <w:tcBorders>
              <w:top w:val="single" w:sz="8" w:space="0" w:color="auto"/>
              <w:left w:val="nil"/>
              <w:bottom w:val="single" w:sz="4" w:space="0" w:color="auto"/>
              <w:right w:val="nil"/>
            </w:tcBorders>
            <w:shd w:val="clear" w:color="auto" w:fill="auto"/>
            <w:vAlign w:val="center"/>
            <w:hideMark/>
          </w:tcPr>
          <w:p w14:paraId="7AC4D35D"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Solde</w:t>
            </w:r>
          </w:p>
        </w:tc>
        <w:tc>
          <w:tcPr>
            <w:tcW w:w="413"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6BED9244"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Taux d'exécution</w:t>
            </w:r>
          </w:p>
        </w:tc>
      </w:tr>
      <w:tr w:rsidR="0077293C" w:rsidRPr="0044783C" w14:paraId="0B2B2700" w14:textId="77777777" w:rsidTr="0044783C">
        <w:trPr>
          <w:trHeight w:val="300"/>
        </w:trPr>
        <w:tc>
          <w:tcPr>
            <w:tcW w:w="2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D37B" w14:textId="77777777" w:rsidR="0077293C" w:rsidRPr="0044783C" w:rsidRDefault="0077293C" w:rsidP="00454CA8">
            <w:pPr>
              <w:spacing w:after="0" w:line="240" w:lineRule="auto"/>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Activités de la DCM</w:t>
            </w:r>
          </w:p>
        </w:tc>
        <w:tc>
          <w:tcPr>
            <w:tcW w:w="404" w:type="pct"/>
            <w:tcBorders>
              <w:top w:val="nil"/>
              <w:left w:val="nil"/>
              <w:bottom w:val="single" w:sz="4" w:space="0" w:color="auto"/>
              <w:right w:val="single" w:sz="4" w:space="0" w:color="auto"/>
            </w:tcBorders>
            <w:shd w:val="clear" w:color="auto" w:fill="auto"/>
            <w:vAlign w:val="center"/>
            <w:hideMark/>
          </w:tcPr>
          <w:p w14:paraId="0E88F9A4"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 </w:t>
            </w:r>
          </w:p>
        </w:tc>
        <w:tc>
          <w:tcPr>
            <w:tcW w:w="404" w:type="pct"/>
            <w:tcBorders>
              <w:top w:val="nil"/>
              <w:left w:val="nil"/>
              <w:bottom w:val="single" w:sz="4" w:space="0" w:color="auto"/>
              <w:right w:val="single" w:sz="4" w:space="0" w:color="auto"/>
            </w:tcBorders>
            <w:shd w:val="clear" w:color="auto" w:fill="auto"/>
            <w:vAlign w:val="center"/>
            <w:hideMark/>
          </w:tcPr>
          <w:p w14:paraId="37DDC80B"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 </w:t>
            </w:r>
          </w:p>
        </w:tc>
        <w:tc>
          <w:tcPr>
            <w:tcW w:w="478" w:type="pct"/>
            <w:tcBorders>
              <w:top w:val="nil"/>
              <w:left w:val="nil"/>
              <w:bottom w:val="single" w:sz="4" w:space="0" w:color="auto"/>
              <w:right w:val="single" w:sz="4" w:space="0" w:color="auto"/>
            </w:tcBorders>
            <w:shd w:val="clear" w:color="auto" w:fill="auto"/>
            <w:vAlign w:val="center"/>
            <w:hideMark/>
          </w:tcPr>
          <w:p w14:paraId="52502211"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 </w:t>
            </w:r>
          </w:p>
        </w:tc>
        <w:tc>
          <w:tcPr>
            <w:tcW w:w="490" w:type="pct"/>
            <w:tcBorders>
              <w:top w:val="nil"/>
              <w:left w:val="nil"/>
              <w:bottom w:val="single" w:sz="4" w:space="0" w:color="auto"/>
              <w:right w:val="single" w:sz="4" w:space="0" w:color="auto"/>
            </w:tcBorders>
            <w:shd w:val="clear" w:color="auto" w:fill="auto"/>
            <w:vAlign w:val="center"/>
            <w:hideMark/>
          </w:tcPr>
          <w:p w14:paraId="6737B85F"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 </w:t>
            </w:r>
          </w:p>
        </w:tc>
        <w:tc>
          <w:tcPr>
            <w:tcW w:w="429" w:type="pct"/>
            <w:tcBorders>
              <w:top w:val="nil"/>
              <w:left w:val="nil"/>
              <w:bottom w:val="single" w:sz="4" w:space="0" w:color="auto"/>
              <w:right w:val="nil"/>
            </w:tcBorders>
            <w:shd w:val="clear" w:color="auto" w:fill="auto"/>
            <w:vAlign w:val="center"/>
            <w:hideMark/>
          </w:tcPr>
          <w:p w14:paraId="5FA8F851"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 </w:t>
            </w:r>
          </w:p>
        </w:tc>
        <w:tc>
          <w:tcPr>
            <w:tcW w:w="413" w:type="pct"/>
            <w:tcBorders>
              <w:top w:val="nil"/>
              <w:left w:val="single" w:sz="4" w:space="0" w:color="auto"/>
              <w:bottom w:val="single" w:sz="4" w:space="0" w:color="auto"/>
              <w:right w:val="single" w:sz="8" w:space="0" w:color="auto"/>
            </w:tcBorders>
            <w:shd w:val="clear" w:color="000000" w:fill="FFFFFF"/>
            <w:vAlign w:val="center"/>
            <w:hideMark/>
          </w:tcPr>
          <w:p w14:paraId="704B132A"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 </w:t>
            </w:r>
          </w:p>
        </w:tc>
      </w:tr>
      <w:tr w:rsidR="0044783C" w:rsidRPr="0044783C" w14:paraId="426ED328" w14:textId="77777777" w:rsidTr="0044783C">
        <w:trPr>
          <w:trHeight w:val="1725"/>
        </w:trPr>
        <w:tc>
          <w:tcPr>
            <w:tcW w:w="23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83DE7B" w14:textId="77777777" w:rsidR="0077293C" w:rsidRPr="0044783C" w:rsidRDefault="0077293C" w:rsidP="00454CA8">
            <w:pPr>
              <w:spacing w:after="0" w:line="240" w:lineRule="auto"/>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Finaliser l'élaboration  du rapport sur la coopération au développement 2018 et produire le rapport sur la coopération au développement 2019 (élaboration et impression)</w:t>
            </w:r>
          </w:p>
        </w:tc>
        <w:tc>
          <w:tcPr>
            <w:tcW w:w="404" w:type="pct"/>
            <w:tcBorders>
              <w:top w:val="nil"/>
              <w:left w:val="nil"/>
              <w:bottom w:val="single" w:sz="4" w:space="0" w:color="auto"/>
              <w:right w:val="single" w:sz="4" w:space="0" w:color="auto"/>
            </w:tcBorders>
            <w:shd w:val="clear" w:color="000000" w:fill="FFFFFF"/>
            <w:vAlign w:val="center"/>
            <w:hideMark/>
          </w:tcPr>
          <w:p w14:paraId="0AFABFFF" w14:textId="77777777" w:rsidR="0077293C" w:rsidRPr="0044783C" w:rsidRDefault="0077293C" w:rsidP="00454CA8">
            <w:pPr>
              <w:spacing w:after="0" w:line="240" w:lineRule="auto"/>
              <w:jc w:val="center"/>
              <w:rPr>
                <w:rFonts w:ascii="Arial Narrow" w:eastAsia="Times New Roman" w:hAnsi="Arial Narrow"/>
                <w:color w:val="000000"/>
                <w:lang w:eastAsia="fr-FR"/>
              </w:rPr>
            </w:pPr>
            <w:r w:rsidRPr="0044783C">
              <w:rPr>
                <w:rFonts w:ascii="Arial Narrow" w:eastAsia="Times New Roman" w:hAnsi="Arial Narrow"/>
                <w:color w:val="000000"/>
                <w:lang w:eastAsia="fr-FR"/>
              </w:rPr>
              <w:t>00400</w:t>
            </w:r>
          </w:p>
        </w:tc>
        <w:tc>
          <w:tcPr>
            <w:tcW w:w="404" w:type="pct"/>
            <w:tcBorders>
              <w:top w:val="nil"/>
              <w:left w:val="nil"/>
              <w:bottom w:val="single" w:sz="4" w:space="0" w:color="auto"/>
              <w:right w:val="single" w:sz="4" w:space="0" w:color="auto"/>
            </w:tcBorders>
            <w:shd w:val="clear" w:color="000000" w:fill="FFFFFF"/>
            <w:vAlign w:val="center"/>
            <w:hideMark/>
          </w:tcPr>
          <w:p w14:paraId="50A44CAA" w14:textId="77777777" w:rsidR="0077293C" w:rsidRPr="0044783C" w:rsidRDefault="0077293C" w:rsidP="00454CA8">
            <w:pPr>
              <w:spacing w:after="0" w:line="240" w:lineRule="auto"/>
              <w:jc w:val="center"/>
              <w:rPr>
                <w:rFonts w:ascii="Arial Narrow" w:eastAsia="Times New Roman" w:hAnsi="Arial Narrow"/>
                <w:color w:val="000000"/>
                <w:lang w:eastAsia="fr-FR"/>
              </w:rPr>
            </w:pPr>
            <w:r w:rsidRPr="0044783C">
              <w:rPr>
                <w:rFonts w:ascii="Arial Narrow" w:eastAsia="Times New Roman" w:hAnsi="Arial Narrow"/>
                <w:color w:val="000000"/>
                <w:lang w:eastAsia="fr-FR"/>
              </w:rPr>
              <w:t>00012</w:t>
            </w:r>
          </w:p>
        </w:tc>
        <w:tc>
          <w:tcPr>
            <w:tcW w:w="478" w:type="pct"/>
            <w:tcBorders>
              <w:top w:val="nil"/>
              <w:left w:val="nil"/>
              <w:bottom w:val="single" w:sz="4" w:space="0" w:color="auto"/>
              <w:right w:val="single" w:sz="4" w:space="0" w:color="auto"/>
            </w:tcBorders>
            <w:shd w:val="clear" w:color="000000" w:fill="FFFFFF"/>
            <w:vAlign w:val="center"/>
            <w:hideMark/>
          </w:tcPr>
          <w:p w14:paraId="4A1DE3FC"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26 650 000</w:t>
            </w:r>
          </w:p>
        </w:tc>
        <w:tc>
          <w:tcPr>
            <w:tcW w:w="490" w:type="pct"/>
            <w:tcBorders>
              <w:top w:val="nil"/>
              <w:left w:val="nil"/>
              <w:bottom w:val="single" w:sz="4" w:space="0" w:color="auto"/>
              <w:right w:val="single" w:sz="4" w:space="0" w:color="auto"/>
            </w:tcBorders>
            <w:shd w:val="clear" w:color="000000" w:fill="FFFFFF"/>
            <w:vAlign w:val="center"/>
            <w:hideMark/>
          </w:tcPr>
          <w:p w14:paraId="77C0064C"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14 898 500</w:t>
            </w:r>
          </w:p>
        </w:tc>
        <w:tc>
          <w:tcPr>
            <w:tcW w:w="429" w:type="pct"/>
            <w:tcBorders>
              <w:top w:val="nil"/>
              <w:left w:val="nil"/>
              <w:bottom w:val="single" w:sz="4" w:space="0" w:color="auto"/>
              <w:right w:val="nil"/>
            </w:tcBorders>
            <w:shd w:val="clear" w:color="000000" w:fill="FFFFFF"/>
            <w:vAlign w:val="center"/>
            <w:hideMark/>
          </w:tcPr>
          <w:p w14:paraId="1CBE83F4"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11 751 500</w:t>
            </w:r>
          </w:p>
        </w:tc>
        <w:tc>
          <w:tcPr>
            <w:tcW w:w="413" w:type="pct"/>
            <w:tcBorders>
              <w:top w:val="nil"/>
              <w:left w:val="single" w:sz="4" w:space="0" w:color="auto"/>
              <w:bottom w:val="single" w:sz="4" w:space="0" w:color="auto"/>
              <w:right w:val="single" w:sz="8" w:space="0" w:color="auto"/>
            </w:tcBorders>
            <w:shd w:val="clear" w:color="000000" w:fill="FFFFFF"/>
            <w:vAlign w:val="center"/>
            <w:hideMark/>
          </w:tcPr>
          <w:p w14:paraId="53D8E24F"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55,90%</w:t>
            </w:r>
          </w:p>
        </w:tc>
      </w:tr>
      <w:tr w:rsidR="0044783C" w:rsidRPr="0044783C" w14:paraId="309B19BA" w14:textId="77777777" w:rsidTr="0044783C">
        <w:trPr>
          <w:trHeight w:val="315"/>
        </w:trPr>
        <w:tc>
          <w:tcPr>
            <w:tcW w:w="23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772EF" w14:textId="77777777" w:rsidR="0077293C" w:rsidRPr="0044783C" w:rsidRDefault="0077293C" w:rsidP="00454CA8">
            <w:pPr>
              <w:spacing w:after="0" w:line="240" w:lineRule="auto"/>
              <w:jc w:val="both"/>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Fonctionnement</w:t>
            </w:r>
          </w:p>
        </w:tc>
        <w:tc>
          <w:tcPr>
            <w:tcW w:w="404" w:type="pct"/>
            <w:tcBorders>
              <w:top w:val="nil"/>
              <w:left w:val="nil"/>
              <w:bottom w:val="single" w:sz="4" w:space="0" w:color="auto"/>
              <w:right w:val="single" w:sz="4" w:space="0" w:color="auto"/>
            </w:tcBorders>
            <w:shd w:val="clear" w:color="000000" w:fill="FFFFFF"/>
            <w:vAlign w:val="center"/>
            <w:hideMark/>
          </w:tcPr>
          <w:p w14:paraId="22F106A7" w14:textId="77777777" w:rsidR="0077293C" w:rsidRPr="0044783C" w:rsidRDefault="0077293C" w:rsidP="00454CA8">
            <w:pPr>
              <w:spacing w:after="0" w:line="240" w:lineRule="auto"/>
              <w:jc w:val="center"/>
              <w:rPr>
                <w:rFonts w:ascii="Arial Narrow" w:eastAsia="Times New Roman" w:hAnsi="Arial Narrow"/>
                <w:color w:val="000000"/>
                <w:lang w:eastAsia="fr-FR"/>
              </w:rPr>
            </w:pPr>
            <w:r w:rsidRPr="0044783C">
              <w:rPr>
                <w:rFonts w:ascii="Arial Narrow" w:eastAsia="Times New Roman" w:hAnsi="Arial Narrow"/>
                <w:color w:val="000000"/>
                <w:lang w:eastAsia="fr-FR"/>
              </w:rPr>
              <w:t>00400</w:t>
            </w:r>
          </w:p>
        </w:tc>
        <w:tc>
          <w:tcPr>
            <w:tcW w:w="404" w:type="pct"/>
            <w:tcBorders>
              <w:top w:val="nil"/>
              <w:left w:val="nil"/>
              <w:bottom w:val="single" w:sz="4" w:space="0" w:color="auto"/>
              <w:right w:val="single" w:sz="4" w:space="0" w:color="auto"/>
            </w:tcBorders>
            <w:shd w:val="clear" w:color="000000" w:fill="FFFFFF"/>
            <w:vAlign w:val="center"/>
            <w:hideMark/>
          </w:tcPr>
          <w:p w14:paraId="1399079E" w14:textId="77777777" w:rsidR="0077293C" w:rsidRPr="0044783C" w:rsidRDefault="0077293C" w:rsidP="00454CA8">
            <w:pPr>
              <w:spacing w:after="0" w:line="240" w:lineRule="auto"/>
              <w:jc w:val="center"/>
              <w:rPr>
                <w:rFonts w:ascii="Arial Narrow" w:eastAsia="Times New Roman" w:hAnsi="Arial Narrow"/>
                <w:color w:val="000000"/>
                <w:lang w:eastAsia="fr-FR"/>
              </w:rPr>
            </w:pPr>
            <w:r w:rsidRPr="0044783C">
              <w:rPr>
                <w:rFonts w:ascii="Arial Narrow" w:eastAsia="Times New Roman" w:hAnsi="Arial Narrow"/>
                <w:color w:val="000000"/>
                <w:lang w:eastAsia="fr-FR"/>
              </w:rPr>
              <w:t>00012</w:t>
            </w:r>
          </w:p>
        </w:tc>
        <w:tc>
          <w:tcPr>
            <w:tcW w:w="478" w:type="pct"/>
            <w:tcBorders>
              <w:top w:val="nil"/>
              <w:left w:val="nil"/>
              <w:bottom w:val="single" w:sz="4" w:space="0" w:color="auto"/>
              <w:right w:val="single" w:sz="4" w:space="0" w:color="auto"/>
            </w:tcBorders>
            <w:shd w:val="clear" w:color="000000" w:fill="FFFFFF"/>
            <w:vAlign w:val="center"/>
            <w:hideMark/>
          </w:tcPr>
          <w:p w14:paraId="70C5EECB"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4 999 000</w:t>
            </w:r>
          </w:p>
        </w:tc>
        <w:tc>
          <w:tcPr>
            <w:tcW w:w="490" w:type="pct"/>
            <w:tcBorders>
              <w:top w:val="nil"/>
              <w:left w:val="nil"/>
              <w:bottom w:val="single" w:sz="4" w:space="0" w:color="auto"/>
              <w:right w:val="single" w:sz="4" w:space="0" w:color="auto"/>
            </w:tcBorders>
            <w:shd w:val="clear" w:color="000000" w:fill="FFFFFF"/>
            <w:vAlign w:val="center"/>
            <w:hideMark/>
          </w:tcPr>
          <w:p w14:paraId="7466DD00"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4 995 481</w:t>
            </w:r>
          </w:p>
        </w:tc>
        <w:tc>
          <w:tcPr>
            <w:tcW w:w="429" w:type="pct"/>
            <w:tcBorders>
              <w:top w:val="nil"/>
              <w:left w:val="nil"/>
              <w:bottom w:val="single" w:sz="4" w:space="0" w:color="auto"/>
              <w:right w:val="nil"/>
            </w:tcBorders>
            <w:shd w:val="clear" w:color="000000" w:fill="FFFFFF"/>
            <w:vAlign w:val="center"/>
            <w:hideMark/>
          </w:tcPr>
          <w:p w14:paraId="29394190"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3 519</w:t>
            </w:r>
          </w:p>
        </w:tc>
        <w:tc>
          <w:tcPr>
            <w:tcW w:w="413" w:type="pct"/>
            <w:tcBorders>
              <w:top w:val="nil"/>
              <w:left w:val="single" w:sz="4" w:space="0" w:color="auto"/>
              <w:bottom w:val="single" w:sz="4" w:space="0" w:color="auto"/>
              <w:right w:val="single" w:sz="8" w:space="0" w:color="auto"/>
            </w:tcBorders>
            <w:shd w:val="clear" w:color="000000" w:fill="FFFFFF"/>
            <w:vAlign w:val="center"/>
            <w:hideMark/>
          </w:tcPr>
          <w:p w14:paraId="1494EED5" w14:textId="77777777" w:rsidR="0077293C" w:rsidRPr="0044783C" w:rsidRDefault="0077293C" w:rsidP="00454CA8">
            <w:pPr>
              <w:spacing w:after="0" w:line="240" w:lineRule="auto"/>
              <w:jc w:val="right"/>
              <w:rPr>
                <w:rFonts w:ascii="Arial Narrow" w:eastAsia="Times New Roman" w:hAnsi="Arial Narrow"/>
                <w:color w:val="000000"/>
                <w:lang w:eastAsia="fr-FR"/>
              </w:rPr>
            </w:pPr>
            <w:r w:rsidRPr="0044783C">
              <w:rPr>
                <w:rFonts w:ascii="Arial Narrow" w:eastAsia="Times New Roman" w:hAnsi="Arial Narrow"/>
                <w:color w:val="000000"/>
                <w:lang w:eastAsia="fr-FR"/>
              </w:rPr>
              <w:t>99,93%</w:t>
            </w:r>
          </w:p>
        </w:tc>
      </w:tr>
      <w:tr w:rsidR="0044783C" w:rsidRPr="0044783C" w14:paraId="3C2B6CE8" w14:textId="77777777" w:rsidTr="0044783C">
        <w:trPr>
          <w:trHeight w:val="330"/>
        </w:trPr>
        <w:tc>
          <w:tcPr>
            <w:tcW w:w="2382" w:type="pct"/>
            <w:tcBorders>
              <w:top w:val="single" w:sz="4" w:space="0" w:color="auto"/>
              <w:left w:val="single" w:sz="4" w:space="0" w:color="auto"/>
              <w:bottom w:val="single" w:sz="8" w:space="0" w:color="auto"/>
              <w:right w:val="single" w:sz="4" w:space="0" w:color="auto"/>
            </w:tcBorders>
            <w:shd w:val="clear" w:color="000000" w:fill="FFFFFF"/>
            <w:vAlign w:val="center"/>
            <w:hideMark/>
          </w:tcPr>
          <w:p w14:paraId="4936BED3" w14:textId="77777777" w:rsidR="0077293C" w:rsidRPr="0044783C" w:rsidRDefault="0077293C" w:rsidP="00454CA8">
            <w:pPr>
              <w:spacing w:after="0" w:line="240" w:lineRule="auto"/>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MONTANT TOTAL DU BUDGET</w:t>
            </w:r>
          </w:p>
        </w:tc>
        <w:tc>
          <w:tcPr>
            <w:tcW w:w="404" w:type="pct"/>
            <w:tcBorders>
              <w:top w:val="nil"/>
              <w:left w:val="nil"/>
              <w:bottom w:val="single" w:sz="8" w:space="0" w:color="auto"/>
              <w:right w:val="single" w:sz="4" w:space="0" w:color="auto"/>
            </w:tcBorders>
            <w:shd w:val="clear" w:color="000000" w:fill="FFFFFF"/>
            <w:vAlign w:val="center"/>
            <w:hideMark/>
          </w:tcPr>
          <w:p w14:paraId="54437EB7"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 </w:t>
            </w:r>
          </w:p>
        </w:tc>
        <w:tc>
          <w:tcPr>
            <w:tcW w:w="404" w:type="pct"/>
            <w:tcBorders>
              <w:top w:val="nil"/>
              <w:left w:val="nil"/>
              <w:bottom w:val="single" w:sz="8" w:space="0" w:color="auto"/>
              <w:right w:val="single" w:sz="4" w:space="0" w:color="auto"/>
            </w:tcBorders>
            <w:shd w:val="clear" w:color="000000" w:fill="FFFFFF"/>
            <w:vAlign w:val="center"/>
            <w:hideMark/>
          </w:tcPr>
          <w:p w14:paraId="3C61190F" w14:textId="77777777" w:rsidR="0077293C" w:rsidRPr="0044783C" w:rsidRDefault="0077293C" w:rsidP="00454CA8">
            <w:pPr>
              <w:spacing w:after="0" w:line="240" w:lineRule="auto"/>
              <w:jc w:val="center"/>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 </w:t>
            </w:r>
          </w:p>
        </w:tc>
        <w:tc>
          <w:tcPr>
            <w:tcW w:w="478" w:type="pct"/>
            <w:tcBorders>
              <w:top w:val="nil"/>
              <w:left w:val="nil"/>
              <w:bottom w:val="single" w:sz="8" w:space="0" w:color="auto"/>
              <w:right w:val="single" w:sz="4" w:space="0" w:color="auto"/>
            </w:tcBorders>
            <w:shd w:val="clear" w:color="000000" w:fill="FFFFFF"/>
            <w:vAlign w:val="center"/>
            <w:hideMark/>
          </w:tcPr>
          <w:p w14:paraId="740B2179" w14:textId="77777777" w:rsidR="0077293C" w:rsidRPr="0044783C" w:rsidRDefault="0077293C" w:rsidP="00454CA8">
            <w:pPr>
              <w:spacing w:after="0" w:line="240" w:lineRule="auto"/>
              <w:jc w:val="right"/>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31 649 000</w:t>
            </w:r>
          </w:p>
        </w:tc>
        <w:tc>
          <w:tcPr>
            <w:tcW w:w="490" w:type="pct"/>
            <w:tcBorders>
              <w:top w:val="nil"/>
              <w:left w:val="nil"/>
              <w:bottom w:val="single" w:sz="8" w:space="0" w:color="auto"/>
              <w:right w:val="single" w:sz="4" w:space="0" w:color="auto"/>
            </w:tcBorders>
            <w:shd w:val="clear" w:color="000000" w:fill="FFFFFF"/>
            <w:vAlign w:val="center"/>
            <w:hideMark/>
          </w:tcPr>
          <w:p w14:paraId="6A1014AB" w14:textId="77777777" w:rsidR="0077293C" w:rsidRPr="0044783C" w:rsidRDefault="0077293C" w:rsidP="00454CA8">
            <w:pPr>
              <w:spacing w:after="0" w:line="240" w:lineRule="auto"/>
              <w:jc w:val="right"/>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19 893 981</w:t>
            </w:r>
          </w:p>
        </w:tc>
        <w:tc>
          <w:tcPr>
            <w:tcW w:w="429" w:type="pct"/>
            <w:tcBorders>
              <w:top w:val="nil"/>
              <w:left w:val="nil"/>
              <w:bottom w:val="single" w:sz="4" w:space="0" w:color="auto"/>
              <w:right w:val="nil"/>
            </w:tcBorders>
            <w:shd w:val="clear" w:color="000000" w:fill="FFFFFF"/>
            <w:vAlign w:val="center"/>
            <w:hideMark/>
          </w:tcPr>
          <w:p w14:paraId="05F5CBC0" w14:textId="77777777" w:rsidR="0077293C" w:rsidRPr="0044783C" w:rsidRDefault="0077293C" w:rsidP="00454CA8">
            <w:pPr>
              <w:spacing w:after="0" w:line="240" w:lineRule="auto"/>
              <w:jc w:val="right"/>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11 755 019</w:t>
            </w:r>
          </w:p>
        </w:tc>
        <w:tc>
          <w:tcPr>
            <w:tcW w:w="413" w:type="pct"/>
            <w:tcBorders>
              <w:top w:val="nil"/>
              <w:left w:val="single" w:sz="4" w:space="0" w:color="auto"/>
              <w:bottom w:val="single" w:sz="4" w:space="0" w:color="auto"/>
              <w:right w:val="single" w:sz="8" w:space="0" w:color="auto"/>
            </w:tcBorders>
            <w:shd w:val="clear" w:color="000000" w:fill="FFFFFF"/>
            <w:vAlign w:val="center"/>
            <w:hideMark/>
          </w:tcPr>
          <w:p w14:paraId="4196403E" w14:textId="77777777" w:rsidR="0077293C" w:rsidRPr="0044783C" w:rsidRDefault="0077293C" w:rsidP="00454CA8">
            <w:pPr>
              <w:spacing w:after="0" w:line="240" w:lineRule="auto"/>
              <w:jc w:val="right"/>
              <w:rPr>
                <w:rFonts w:ascii="Arial Narrow" w:eastAsia="Times New Roman" w:hAnsi="Arial Narrow"/>
                <w:b/>
                <w:bCs/>
                <w:color w:val="000000"/>
                <w:lang w:eastAsia="fr-FR"/>
              </w:rPr>
            </w:pPr>
            <w:r w:rsidRPr="0044783C">
              <w:rPr>
                <w:rFonts w:ascii="Arial Narrow" w:eastAsia="Times New Roman" w:hAnsi="Arial Narrow"/>
                <w:b/>
                <w:bCs/>
                <w:color w:val="000000"/>
                <w:lang w:eastAsia="fr-FR"/>
              </w:rPr>
              <w:t>62,86%</w:t>
            </w:r>
          </w:p>
        </w:tc>
      </w:tr>
    </w:tbl>
    <w:p w14:paraId="68FDC6B6" w14:textId="77777777" w:rsidR="00822572" w:rsidRDefault="00822572" w:rsidP="0077293C">
      <w:pPr>
        <w:rPr>
          <w:rFonts w:ascii="Times New Roman" w:eastAsia="Times New Roman" w:hAnsi="Times New Roman"/>
          <w:i/>
          <w:sz w:val="24"/>
          <w:szCs w:val="24"/>
          <w:lang w:eastAsia="fr-FR"/>
        </w:rPr>
        <w:sectPr w:rsidR="00822572" w:rsidSect="00822572">
          <w:pgSz w:w="16838" w:h="11906" w:orient="landscape"/>
          <w:pgMar w:top="1440" w:right="1440" w:bottom="1440" w:left="1440" w:header="709" w:footer="709" w:gutter="0"/>
          <w:cols w:space="708"/>
          <w:docGrid w:linePitch="360"/>
        </w:sectPr>
      </w:pPr>
    </w:p>
    <w:p w14:paraId="6ABD2A6D" w14:textId="77777777" w:rsidR="0077293C" w:rsidRPr="0044783C" w:rsidRDefault="0077293C" w:rsidP="0077293C">
      <w:pPr>
        <w:jc w:val="both"/>
        <w:rPr>
          <w:rFonts w:ascii="Arial Narrow" w:eastAsia="Times New Roman" w:hAnsi="Arial Narrow"/>
          <w:i/>
          <w:sz w:val="24"/>
          <w:szCs w:val="24"/>
          <w:lang w:eastAsia="fr-FR"/>
        </w:rPr>
      </w:pPr>
      <w:r w:rsidRPr="0044783C">
        <w:rPr>
          <w:rFonts w:ascii="Arial Narrow" w:eastAsia="Times New Roman" w:hAnsi="Arial Narrow"/>
          <w:i/>
          <w:sz w:val="24"/>
          <w:szCs w:val="24"/>
          <w:lang w:eastAsia="fr-FR"/>
        </w:rPr>
        <w:t xml:space="preserve">Le taux d’exécution sur le budget des activités phares  est de 62,86%. Il est à noter que la </w:t>
      </w:r>
      <w:r w:rsidRPr="0044783C">
        <w:rPr>
          <w:rFonts w:ascii="Arial Narrow" w:hAnsi="Arial Narrow"/>
          <w:sz w:val="24"/>
          <w:szCs w:val="24"/>
        </w:rPr>
        <w:t xml:space="preserve"> prise en charge du salaire au cours de ce trimestre du Gestionnaire PAGER/DCM </w:t>
      </w:r>
      <w:r w:rsidRPr="0044783C">
        <w:rPr>
          <w:rFonts w:ascii="Arial Narrow" w:eastAsia="Times New Roman" w:hAnsi="Arial Narrow"/>
          <w:i/>
          <w:sz w:val="24"/>
          <w:szCs w:val="24"/>
          <w:lang w:eastAsia="fr-FR"/>
        </w:rPr>
        <w:t>a été  directement assurée par le PNUD sur le système de paiement direct.</w:t>
      </w:r>
    </w:p>
    <w:p w14:paraId="76119087" w14:textId="77777777" w:rsidR="0077293C" w:rsidRPr="0044783C" w:rsidRDefault="0077293C" w:rsidP="0077293C">
      <w:pPr>
        <w:widowControl w:val="0"/>
        <w:autoSpaceDE w:val="0"/>
        <w:autoSpaceDN w:val="0"/>
        <w:spacing w:before="1" w:after="0" w:line="240" w:lineRule="auto"/>
        <w:ind w:left="477"/>
        <w:jc w:val="both"/>
        <w:rPr>
          <w:rFonts w:ascii="Arial Narrow" w:eastAsia="Century" w:hAnsi="Arial Narrow"/>
          <w:b/>
          <w:sz w:val="24"/>
          <w:szCs w:val="24"/>
          <w:lang w:eastAsia="fr-FR" w:bidi="fr-FR"/>
        </w:rPr>
      </w:pPr>
    </w:p>
    <w:p w14:paraId="1AE291B1" w14:textId="77777777" w:rsidR="0077293C" w:rsidRPr="0044783C" w:rsidRDefault="0077293C" w:rsidP="0077293C">
      <w:pPr>
        <w:widowControl w:val="0"/>
        <w:autoSpaceDE w:val="0"/>
        <w:autoSpaceDN w:val="0"/>
        <w:spacing w:before="1" w:after="0" w:line="240" w:lineRule="auto"/>
        <w:ind w:left="477"/>
        <w:jc w:val="both"/>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DEPENSES :</w:t>
      </w:r>
    </w:p>
    <w:p w14:paraId="00FBF684" w14:textId="77777777" w:rsidR="0077293C" w:rsidRPr="0044783C" w:rsidRDefault="0077293C" w:rsidP="0077293C">
      <w:pPr>
        <w:widowControl w:val="0"/>
        <w:autoSpaceDE w:val="0"/>
        <w:autoSpaceDN w:val="0"/>
        <w:spacing w:before="169" w:after="0" w:line="240" w:lineRule="auto"/>
        <w:ind w:left="477" w:right="815"/>
        <w:jc w:val="both"/>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Au cours de la période sous revue, l’exécution du budget des activités phares pendant le second trimestre de l’année 2020 (Avril à Juin) de la DCM a donné lieu à des dépenses de diverses natures, entrant dans le cadre de l’exécution des activités phares prioritaires de la DCM. Il s’agit de :</w:t>
      </w:r>
    </w:p>
    <w:p w14:paraId="5D2CD6CE" w14:textId="77777777" w:rsidR="0077293C" w:rsidRPr="0044783C" w:rsidRDefault="0077293C" w:rsidP="0077293C">
      <w:pPr>
        <w:widowControl w:val="0"/>
        <w:numPr>
          <w:ilvl w:val="1"/>
          <w:numId w:val="26"/>
        </w:numPr>
        <w:tabs>
          <w:tab w:val="left" w:pos="1378"/>
        </w:tabs>
        <w:autoSpaceDE w:val="0"/>
        <w:autoSpaceDN w:val="0"/>
        <w:spacing w:after="0" w:line="240" w:lineRule="auto"/>
        <w:ind w:right="817"/>
        <w:jc w:val="both"/>
        <w:rPr>
          <w:rFonts w:ascii="Arial Narrow" w:eastAsia="Times New Roman" w:hAnsi="Arial Narrow"/>
          <w:sz w:val="24"/>
          <w:szCs w:val="24"/>
          <w:lang w:eastAsia="fr-FR"/>
        </w:rPr>
      </w:pPr>
      <w:r w:rsidRPr="0044783C">
        <w:rPr>
          <w:rFonts w:ascii="Arial Narrow" w:eastAsia="Times New Roman" w:hAnsi="Arial Narrow"/>
          <w:sz w:val="24"/>
          <w:szCs w:val="24"/>
          <w:lang w:eastAsia="fr-FR"/>
        </w:rPr>
        <w:t>Dépenses de financement des activités : honoraires des consultants,  Prise en charge de l’impression  du rapport sur la coopération 2018.</w:t>
      </w:r>
    </w:p>
    <w:p w14:paraId="1C39872A" w14:textId="77777777" w:rsidR="0077293C" w:rsidRPr="0044783C" w:rsidRDefault="0077293C" w:rsidP="0077293C">
      <w:pPr>
        <w:widowControl w:val="0"/>
        <w:numPr>
          <w:ilvl w:val="1"/>
          <w:numId w:val="26"/>
        </w:numPr>
        <w:tabs>
          <w:tab w:val="left" w:pos="1378"/>
        </w:tabs>
        <w:autoSpaceDE w:val="0"/>
        <w:autoSpaceDN w:val="0"/>
        <w:spacing w:after="0" w:line="240" w:lineRule="auto"/>
        <w:ind w:right="816"/>
        <w:jc w:val="both"/>
        <w:rPr>
          <w:rFonts w:ascii="Arial Narrow" w:eastAsia="Times New Roman" w:hAnsi="Arial Narrow"/>
          <w:sz w:val="24"/>
          <w:szCs w:val="24"/>
          <w:lang w:eastAsia="fr-FR"/>
        </w:rPr>
      </w:pPr>
      <w:r w:rsidRPr="0044783C">
        <w:rPr>
          <w:rFonts w:ascii="Arial Narrow" w:eastAsia="Times New Roman" w:hAnsi="Arial Narrow"/>
          <w:sz w:val="24"/>
          <w:szCs w:val="24"/>
          <w:lang w:eastAsia="fr-FR"/>
        </w:rPr>
        <w:t>Dépenses de fonctionnement : achat de fournitures de bureau et matériel  bureautique, achat de carburant et de réparations de véhicules.</w:t>
      </w:r>
    </w:p>
    <w:p w14:paraId="66030B88" w14:textId="77777777" w:rsidR="0077293C" w:rsidRPr="0044783C" w:rsidRDefault="0077293C" w:rsidP="0077293C">
      <w:pPr>
        <w:widowControl w:val="0"/>
        <w:tabs>
          <w:tab w:val="left" w:pos="1378"/>
        </w:tabs>
        <w:autoSpaceDE w:val="0"/>
        <w:autoSpaceDN w:val="0"/>
        <w:spacing w:after="0" w:line="240" w:lineRule="auto"/>
        <w:ind w:left="1377" w:right="816"/>
        <w:jc w:val="both"/>
        <w:rPr>
          <w:rFonts w:ascii="Arial Narrow" w:eastAsia="Times New Roman" w:hAnsi="Arial Narrow"/>
          <w:sz w:val="24"/>
          <w:szCs w:val="24"/>
          <w:lang w:eastAsia="fr-FR"/>
        </w:rPr>
      </w:pPr>
    </w:p>
    <w:p w14:paraId="1DDE3FDE" w14:textId="77777777" w:rsidR="0077293C" w:rsidRPr="0044783C" w:rsidRDefault="0077293C" w:rsidP="0077293C">
      <w:pPr>
        <w:widowControl w:val="0"/>
        <w:tabs>
          <w:tab w:val="left" w:pos="1378"/>
        </w:tabs>
        <w:autoSpaceDE w:val="0"/>
        <w:autoSpaceDN w:val="0"/>
        <w:spacing w:after="0" w:line="240" w:lineRule="auto"/>
        <w:ind w:left="1377" w:right="816"/>
        <w:jc w:val="both"/>
        <w:rPr>
          <w:rFonts w:ascii="Arial Narrow" w:eastAsia="Times New Roman" w:hAnsi="Arial Narrow"/>
          <w:sz w:val="24"/>
          <w:szCs w:val="24"/>
          <w:lang w:eastAsia="fr-FR"/>
        </w:rPr>
      </w:pPr>
      <w:r w:rsidRPr="0044783C">
        <w:rPr>
          <w:rFonts w:ascii="Arial Narrow" w:eastAsia="Times New Roman" w:hAnsi="Arial Narrow"/>
          <w:sz w:val="24"/>
          <w:szCs w:val="24"/>
          <w:lang w:eastAsia="fr-FR"/>
        </w:rPr>
        <w:t xml:space="preserve">A la date du 11 Août  2020, l’état général des dépenses est le  suivant : </w:t>
      </w:r>
    </w:p>
    <w:p w14:paraId="7244EADB" w14:textId="77777777" w:rsidR="0077293C" w:rsidRPr="0044783C" w:rsidRDefault="0077293C" w:rsidP="0077293C">
      <w:pPr>
        <w:widowControl w:val="0"/>
        <w:autoSpaceDE w:val="0"/>
        <w:autoSpaceDN w:val="0"/>
        <w:spacing w:before="120" w:after="2" w:line="439" w:lineRule="auto"/>
        <w:ind w:right="1505"/>
        <w:jc w:val="both"/>
        <w:rPr>
          <w:rFonts w:ascii="Arial Narrow" w:eastAsia="Century" w:hAnsi="Arial Narrow"/>
          <w:b/>
          <w:sz w:val="24"/>
          <w:szCs w:val="24"/>
          <w:u w:val="single"/>
          <w:lang w:eastAsia="fr-FR" w:bidi="fr-FR"/>
        </w:rPr>
      </w:pPr>
    </w:p>
    <w:tbl>
      <w:tblPr>
        <w:tblStyle w:val="Grilledutableau"/>
        <w:tblW w:w="0" w:type="auto"/>
        <w:tblInd w:w="846" w:type="dxa"/>
        <w:tblLook w:val="04A0" w:firstRow="1" w:lastRow="0" w:firstColumn="1" w:lastColumn="0" w:noHBand="0" w:noVBand="1"/>
      </w:tblPr>
      <w:tblGrid>
        <w:gridCol w:w="4583"/>
        <w:gridCol w:w="3587"/>
      </w:tblGrid>
      <w:tr w:rsidR="0077293C" w:rsidRPr="0044783C" w14:paraId="764E1609" w14:textId="77777777" w:rsidTr="00454CA8">
        <w:tc>
          <w:tcPr>
            <w:tcW w:w="8214" w:type="dxa"/>
            <w:gridSpan w:val="2"/>
          </w:tcPr>
          <w:p w14:paraId="58F2D123" w14:textId="77777777" w:rsidR="0077293C" w:rsidRPr="0044783C" w:rsidRDefault="0077293C" w:rsidP="00454CA8">
            <w:pPr>
              <w:widowControl w:val="0"/>
              <w:autoSpaceDE w:val="0"/>
              <w:autoSpaceDN w:val="0"/>
              <w:spacing w:before="120" w:after="2" w:line="439" w:lineRule="auto"/>
              <w:ind w:right="1505"/>
              <w:jc w:val="center"/>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NATURE</w:t>
            </w:r>
          </w:p>
        </w:tc>
      </w:tr>
      <w:tr w:rsidR="0077293C" w:rsidRPr="0044783C" w14:paraId="2BAEF3BA" w14:textId="77777777" w:rsidTr="00454CA8">
        <w:tc>
          <w:tcPr>
            <w:tcW w:w="4608" w:type="dxa"/>
          </w:tcPr>
          <w:p w14:paraId="2CB04DCF" w14:textId="77777777" w:rsidR="0077293C" w:rsidRPr="0044783C" w:rsidRDefault="0077293C" w:rsidP="00454CA8">
            <w:pPr>
              <w:widowControl w:val="0"/>
              <w:tabs>
                <w:tab w:val="right" w:pos="1885"/>
              </w:tabs>
              <w:autoSpaceDE w:val="0"/>
              <w:autoSpaceDN w:val="0"/>
              <w:spacing w:before="120" w:after="2" w:line="439" w:lineRule="auto"/>
              <w:ind w:right="1505"/>
              <w:jc w:val="center"/>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Libellé</w:t>
            </w:r>
          </w:p>
        </w:tc>
        <w:tc>
          <w:tcPr>
            <w:tcW w:w="3606" w:type="dxa"/>
          </w:tcPr>
          <w:p w14:paraId="02A5BF77" w14:textId="77777777" w:rsidR="0077293C" w:rsidRPr="0044783C" w:rsidRDefault="0077293C" w:rsidP="00454CA8">
            <w:pPr>
              <w:widowControl w:val="0"/>
              <w:autoSpaceDE w:val="0"/>
              <w:autoSpaceDN w:val="0"/>
              <w:spacing w:before="120" w:after="2" w:line="439" w:lineRule="auto"/>
              <w:ind w:right="1505"/>
              <w:jc w:val="center"/>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 xml:space="preserve"> Montant en CFA</w:t>
            </w:r>
          </w:p>
        </w:tc>
      </w:tr>
      <w:tr w:rsidR="0077293C" w:rsidRPr="0044783C" w14:paraId="7F443C33" w14:textId="77777777" w:rsidTr="00454CA8">
        <w:tc>
          <w:tcPr>
            <w:tcW w:w="4608" w:type="dxa"/>
          </w:tcPr>
          <w:p w14:paraId="71C8E296" w14:textId="77777777" w:rsidR="0077293C" w:rsidRPr="0044783C" w:rsidRDefault="0077293C" w:rsidP="00454CA8">
            <w:pPr>
              <w:widowControl w:val="0"/>
              <w:autoSpaceDE w:val="0"/>
              <w:autoSpaceDN w:val="0"/>
              <w:spacing w:before="120" w:after="2" w:line="439" w:lineRule="auto"/>
              <w:ind w:right="1505"/>
              <w:jc w:val="both"/>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Activités</w:t>
            </w:r>
          </w:p>
        </w:tc>
        <w:tc>
          <w:tcPr>
            <w:tcW w:w="3606" w:type="dxa"/>
          </w:tcPr>
          <w:p w14:paraId="42A9984B" w14:textId="77777777" w:rsidR="0077293C" w:rsidRPr="0044783C" w:rsidRDefault="0077293C" w:rsidP="00454CA8">
            <w:pPr>
              <w:widowControl w:val="0"/>
              <w:autoSpaceDE w:val="0"/>
              <w:autoSpaceDN w:val="0"/>
              <w:spacing w:before="120" w:after="2" w:line="439" w:lineRule="auto"/>
              <w:ind w:right="1505"/>
              <w:jc w:val="right"/>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14 898  500</w:t>
            </w:r>
          </w:p>
        </w:tc>
      </w:tr>
      <w:tr w:rsidR="0077293C" w:rsidRPr="0044783C" w14:paraId="2854C3C0" w14:textId="77777777" w:rsidTr="00454CA8">
        <w:tc>
          <w:tcPr>
            <w:tcW w:w="4608" w:type="dxa"/>
          </w:tcPr>
          <w:p w14:paraId="77C67140" w14:textId="77777777" w:rsidR="0077293C" w:rsidRPr="0044783C" w:rsidRDefault="0077293C" w:rsidP="00454CA8">
            <w:pPr>
              <w:widowControl w:val="0"/>
              <w:autoSpaceDE w:val="0"/>
              <w:autoSpaceDN w:val="0"/>
              <w:spacing w:before="120" w:after="2" w:line="439" w:lineRule="auto"/>
              <w:ind w:right="1505"/>
              <w:jc w:val="both"/>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Fonctionnement</w:t>
            </w:r>
          </w:p>
        </w:tc>
        <w:tc>
          <w:tcPr>
            <w:tcW w:w="3606" w:type="dxa"/>
          </w:tcPr>
          <w:p w14:paraId="12F3A6DA" w14:textId="77777777" w:rsidR="0077293C" w:rsidRPr="0044783C" w:rsidRDefault="0077293C" w:rsidP="00454CA8">
            <w:pPr>
              <w:widowControl w:val="0"/>
              <w:autoSpaceDE w:val="0"/>
              <w:autoSpaceDN w:val="0"/>
              <w:spacing w:before="120" w:after="2" w:line="439" w:lineRule="auto"/>
              <w:ind w:right="1505"/>
              <w:jc w:val="right"/>
              <w:rPr>
                <w:rFonts w:ascii="Arial Narrow" w:eastAsia="Century" w:hAnsi="Arial Narrow"/>
                <w:sz w:val="24"/>
                <w:szCs w:val="24"/>
                <w:lang w:eastAsia="fr-FR" w:bidi="fr-FR"/>
              </w:rPr>
            </w:pPr>
            <w:r w:rsidRPr="0044783C">
              <w:rPr>
                <w:rFonts w:ascii="Arial Narrow" w:eastAsia="Century" w:hAnsi="Arial Narrow"/>
                <w:sz w:val="24"/>
                <w:szCs w:val="24"/>
                <w:lang w:eastAsia="fr-FR" w:bidi="fr-FR"/>
              </w:rPr>
              <w:t>4 995 481</w:t>
            </w:r>
          </w:p>
        </w:tc>
      </w:tr>
      <w:tr w:rsidR="0077293C" w:rsidRPr="0044783C" w14:paraId="204F796A" w14:textId="77777777" w:rsidTr="00454CA8">
        <w:tc>
          <w:tcPr>
            <w:tcW w:w="4608" w:type="dxa"/>
          </w:tcPr>
          <w:p w14:paraId="56E66C53" w14:textId="77777777" w:rsidR="0077293C" w:rsidRPr="0044783C" w:rsidRDefault="0077293C" w:rsidP="00454CA8">
            <w:pPr>
              <w:widowControl w:val="0"/>
              <w:autoSpaceDE w:val="0"/>
              <w:autoSpaceDN w:val="0"/>
              <w:spacing w:before="120" w:after="2" w:line="439" w:lineRule="auto"/>
              <w:ind w:right="1505"/>
              <w:jc w:val="both"/>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TOTAL</w:t>
            </w:r>
          </w:p>
        </w:tc>
        <w:tc>
          <w:tcPr>
            <w:tcW w:w="3606" w:type="dxa"/>
          </w:tcPr>
          <w:p w14:paraId="60D6823E" w14:textId="77777777" w:rsidR="0077293C" w:rsidRPr="0044783C" w:rsidRDefault="0077293C" w:rsidP="00454CA8">
            <w:pPr>
              <w:widowControl w:val="0"/>
              <w:autoSpaceDE w:val="0"/>
              <w:autoSpaceDN w:val="0"/>
              <w:spacing w:before="120" w:after="2" w:line="439" w:lineRule="auto"/>
              <w:ind w:right="1505"/>
              <w:jc w:val="right"/>
              <w:rPr>
                <w:rFonts w:ascii="Arial Narrow" w:eastAsia="Century" w:hAnsi="Arial Narrow"/>
                <w:b/>
                <w:sz w:val="24"/>
                <w:szCs w:val="24"/>
                <w:lang w:eastAsia="fr-FR" w:bidi="fr-FR"/>
              </w:rPr>
            </w:pPr>
            <w:r w:rsidRPr="0044783C">
              <w:rPr>
                <w:rFonts w:ascii="Arial Narrow" w:eastAsia="Century" w:hAnsi="Arial Narrow"/>
                <w:b/>
                <w:sz w:val="24"/>
                <w:szCs w:val="24"/>
                <w:lang w:eastAsia="fr-FR" w:bidi="fr-FR"/>
              </w:rPr>
              <w:t>19 893 981</w:t>
            </w:r>
          </w:p>
        </w:tc>
      </w:tr>
    </w:tbl>
    <w:p w14:paraId="23F198C6" w14:textId="77777777" w:rsidR="0077293C" w:rsidRPr="0044783C" w:rsidRDefault="0077293C" w:rsidP="0077293C">
      <w:pPr>
        <w:widowControl w:val="0"/>
        <w:autoSpaceDE w:val="0"/>
        <w:autoSpaceDN w:val="0"/>
        <w:spacing w:before="120" w:after="2" w:line="439" w:lineRule="auto"/>
        <w:ind w:left="1848" w:right="1505" w:hanging="1372"/>
        <w:jc w:val="both"/>
        <w:rPr>
          <w:rFonts w:ascii="Arial Narrow" w:eastAsia="Century" w:hAnsi="Arial Narrow"/>
          <w:b/>
          <w:sz w:val="24"/>
          <w:szCs w:val="24"/>
          <w:u w:val="single"/>
          <w:lang w:eastAsia="fr-FR" w:bidi="fr-FR"/>
        </w:rPr>
      </w:pPr>
    </w:p>
    <w:p w14:paraId="067E9F6D" w14:textId="77777777" w:rsidR="0077293C" w:rsidRDefault="0077293C" w:rsidP="005749B2">
      <w:pPr>
        <w:rPr>
          <w:rFonts w:ascii="Arial Narrow" w:hAnsi="Arial Narrow"/>
        </w:rPr>
      </w:pPr>
    </w:p>
    <w:p w14:paraId="42B6D49E" w14:textId="77777777" w:rsidR="00570387" w:rsidRPr="000B372F" w:rsidRDefault="00570387" w:rsidP="00F82188">
      <w:pPr>
        <w:pStyle w:val="Paragraphedeliste"/>
        <w:numPr>
          <w:ilvl w:val="0"/>
          <w:numId w:val="5"/>
        </w:numPr>
        <w:suppressAutoHyphens w:val="0"/>
        <w:jc w:val="both"/>
        <w:outlineLvl w:val="0"/>
        <w:rPr>
          <w:rFonts w:ascii="Arial Narrow" w:hAnsi="Arial Narrow"/>
          <w:b/>
          <w:sz w:val="28"/>
          <w:szCs w:val="28"/>
        </w:rPr>
      </w:pPr>
      <w:bookmarkStart w:id="12" w:name="_Toc536706915"/>
      <w:bookmarkStart w:id="13" w:name="_Toc48742285"/>
      <w:r w:rsidRPr="000B372F">
        <w:rPr>
          <w:rFonts w:ascii="Arial Narrow" w:hAnsi="Arial Narrow"/>
          <w:b/>
          <w:sz w:val="28"/>
          <w:szCs w:val="28"/>
        </w:rPr>
        <w:t>APPRECIATION GLOBALE DE LA MISE EN ŒUVRE D</w:t>
      </w:r>
      <w:r>
        <w:rPr>
          <w:rFonts w:ascii="Arial Narrow" w:hAnsi="Arial Narrow"/>
          <w:b/>
          <w:sz w:val="28"/>
          <w:szCs w:val="28"/>
        </w:rPr>
        <w:t>ES ACTIVITES PHARES</w:t>
      </w:r>
      <w:bookmarkEnd w:id="12"/>
      <w:bookmarkEnd w:id="13"/>
    </w:p>
    <w:p w14:paraId="7B0777D4" w14:textId="77777777" w:rsidR="00822572" w:rsidRDefault="00822572" w:rsidP="005749B2">
      <w:pPr>
        <w:rPr>
          <w:rFonts w:ascii="Arial Narrow" w:hAnsi="Arial Narrow"/>
          <w:sz w:val="24"/>
          <w:szCs w:val="24"/>
        </w:rPr>
      </w:pPr>
    </w:p>
    <w:p w14:paraId="688CF653" w14:textId="77777777" w:rsidR="00B463E9" w:rsidRPr="005142C0" w:rsidRDefault="009E6EB2" w:rsidP="00822572">
      <w:pPr>
        <w:jc w:val="both"/>
        <w:rPr>
          <w:rFonts w:ascii="Arial Narrow" w:hAnsi="Arial Narrow"/>
          <w:sz w:val="24"/>
          <w:szCs w:val="24"/>
          <w:highlight w:val="green"/>
        </w:rPr>
      </w:pPr>
      <w:r w:rsidRPr="005142C0">
        <w:rPr>
          <w:rFonts w:ascii="Arial Narrow" w:hAnsi="Arial Narrow"/>
          <w:sz w:val="24"/>
          <w:szCs w:val="24"/>
          <w:highlight w:val="green"/>
        </w:rPr>
        <w:t xml:space="preserve">En conclusion, la mise en œuvre des activités phares du programme de travail intérimaire pour la période mars-juillet 2020 a enregistré des résultats satisfaisants malgré la situation socioéconomique marquée par la crise sanitaire de la Covid 19. </w:t>
      </w:r>
    </w:p>
    <w:p w14:paraId="02D2C72A" w14:textId="77777777" w:rsidR="008118A1" w:rsidRPr="005142C0" w:rsidRDefault="009E6EB2" w:rsidP="00822572">
      <w:pPr>
        <w:jc w:val="both"/>
        <w:rPr>
          <w:rFonts w:ascii="Arial Narrow" w:hAnsi="Arial Narrow"/>
          <w:sz w:val="24"/>
          <w:szCs w:val="24"/>
          <w:highlight w:val="green"/>
        </w:rPr>
      </w:pPr>
      <w:r w:rsidRPr="005142C0">
        <w:rPr>
          <w:rFonts w:ascii="Arial Narrow" w:hAnsi="Arial Narrow"/>
          <w:sz w:val="24"/>
          <w:szCs w:val="24"/>
          <w:highlight w:val="green"/>
        </w:rPr>
        <w:t xml:space="preserve">En effet, sur quatre (04) activités </w:t>
      </w:r>
      <w:r w:rsidR="00B463E9" w:rsidRPr="005142C0">
        <w:rPr>
          <w:rFonts w:ascii="Arial Narrow" w:hAnsi="Arial Narrow"/>
          <w:sz w:val="24"/>
          <w:szCs w:val="24"/>
          <w:highlight w:val="green"/>
        </w:rPr>
        <w:t xml:space="preserve">phares </w:t>
      </w:r>
      <w:r w:rsidRPr="005142C0">
        <w:rPr>
          <w:rFonts w:ascii="Arial Narrow" w:hAnsi="Arial Narrow"/>
          <w:sz w:val="24"/>
          <w:szCs w:val="24"/>
          <w:highlight w:val="green"/>
        </w:rPr>
        <w:t xml:space="preserve">programmées, trois (03) ont été réalisées, il s’agit de : </w:t>
      </w:r>
    </w:p>
    <w:p w14:paraId="6B2F5725" w14:textId="77777777" w:rsidR="008118A1" w:rsidRPr="005142C0" w:rsidRDefault="009E6EB2" w:rsidP="00822572">
      <w:pPr>
        <w:pStyle w:val="Paragraphedeliste"/>
        <w:numPr>
          <w:ilvl w:val="0"/>
          <w:numId w:val="32"/>
        </w:numPr>
        <w:jc w:val="both"/>
        <w:rPr>
          <w:rFonts w:ascii="Arial Narrow" w:hAnsi="Arial Narrow"/>
          <w:highlight w:val="green"/>
        </w:rPr>
      </w:pPr>
      <w:r w:rsidRPr="005142C0">
        <w:rPr>
          <w:rFonts w:ascii="Arial Narrow" w:hAnsi="Arial Narrow"/>
          <w:highlight w:val="green"/>
        </w:rPr>
        <w:t xml:space="preserve">l’appui à l’organisation de la </w:t>
      </w:r>
      <w:r w:rsidR="00B463E9" w:rsidRPr="005142C0">
        <w:rPr>
          <w:rFonts w:ascii="Arial Narrow" w:hAnsi="Arial Narrow"/>
          <w:highlight w:val="green"/>
        </w:rPr>
        <w:t>R</w:t>
      </w:r>
      <w:r w:rsidRPr="005142C0">
        <w:rPr>
          <w:rFonts w:ascii="Arial Narrow" w:hAnsi="Arial Narrow"/>
          <w:highlight w:val="green"/>
        </w:rPr>
        <w:t>evue du CREDD et des ODD</w:t>
      </w:r>
      <w:r w:rsidR="00B463E9" w:rsidRPr="005142C0">
        <w:rPr>
          <w:rFonts w:ascii="Arial Narrow" w:hAnsi="Arial Narrow"/>
          <w:highlight w:val="green"/>
        </w:rPr>
        <w:t xml:space="preserve"> par la CT-CSLP (l</w:t>
      </w:r>
      <w:r w:rsidRPr="005142C0">
        <w:rPr>
          <w:rFonts w:ascii="Arial Narrow" w:hAnsi="Arial Narrow"/>
          <w:highlight w:val="green"/>
        </w:rPr>
        <w:t xml:space="preserve">a </w:t>
      </w:r>
      <w:r w:rsidR="00B463E9" w:rsidRPr="005142C0">
        <w:rPr>
          <w:rFonts w:ascii="Arial Narrow" w:hAnsi="Arial Narrow"/>
          <w:highlight w:val="green"/>
        </w:rPr>
        <w:t xml:space="preserve">session technique de la </w:t>
      </w:r>
      <w:r w:rsidRPr="005142C0">
        <w:rPr>
          <w:rFonts w:ascii="Arial Narrow" w:hAnsi="Arial Narrow"/>
          <w:highlight w:val="green"/>
        </w:rPr>
        <w:t>revue s’est tenue le 29 juillet 2020, il reste à tenir la session politique combinée RBC-CREDD</w:t>
      </w:r>
      <w:r w:rsidR="00B463E9" w:rsidRPr="005142C0">
        <w:rPr>
          <w:rFonts w:ascii="Arial Narrow" w:hAnsi="Arial Narrow"/>
          <w:highlight w:val="green"/>
        </w:rPr>
        <w:t>)</w:t>
      </w:r>
      <w:r w:rsidRPr="005142C0">
        <w:rPr>
          <w:rFonts w:ascii="Arial Narrow" w:hAnsi="Arial Narrow"/>
          <w:highlight w:val="green"/>
        </w:rPr>
        <w:t xml:space="preserve"> ; </w:t>
      </w:r>
    </w:p>
    <w:p w14:paraId="122F0BD3" w14:textId="77777777" w:rsidR="008118A1" w:rsidRPr="005142C0" w:rsidRDefault="009E6EB2" w:rsidP="00822572">
      <w:pPr>
        <w:pStyle w:val="Paragraphedeliste"/>
        <w:numPr>
          <w:ilvl w:val="0"/>
          <w:numId w:val="32"/>
        </w:numPr>
        <w:jc w:val="both"/>
        <w:rPr>
          <w:rFonts w:ascii="Arial Narrow" w:hAnsi="Arial Narrow"/>
          <w:highlight w:val="green"/>
        </w:rPr>
      </w:pPr>
      <w:r w:rsidRPr="005142C0">
        <w:rPr>
          <w:rFonts w:ascii="Arial Narrow" w:hAnsi="Arial Narrow"/>
          <w:highlight w:val="green"/>
        </w:rPr>
        <w:t xml:space="preserve">l’élaboration du profil de pauvreté et l’établissement de la situation des Objectifs de Développement Durable au Mali des communes 2020  </w:t>
      </w:r>
      <w:r w:rsidR="00B463E9" w:rsidRPr="005142C0">
        <w:rPr>
          <w:rFonts w:ascii="Arial Narrow" w:hAnsi="Arial Narrow"/>
          <w:highlight w:val="green"/>
        </w:rPr>
        <w:t xml:space="preserve">par l’ODHD </w:t>
      </w:r>
      <w:r w:rsidRPr="005142C0">
        <w:rPr>
          <w:rFonts w:ascii="Arial Narrow" w:hAnsi="Arial Narrow"/>
          <w:highlight w:val="green"/>
        </w:rPr>
        <w:t xml:space="preserve">et </w:t>
      </w:r>
    </w:p>
    <w:p w14:paraId="31E55EEB" w14:textId="77777777" w:rsidR="00B463E9" w:rsidRPr="005142C0" w:rsidRDefault="009E6EB2" w:rsidP="00822572">
      <w:pPr>
        <w:pStyle w:val="Paragraphedeliste"/>
        <w:numPr>
          <w:ilvl w:val="0"/>
          <w:numId w:val="32"/>
        </w:numPr>
        <w:jc w:val="both"/>
        <w:rPr>
          <w:rFonts w:ascii="Arial Narrow" w:hAnsi="Arial Narrow"/>
          <w:highlight w:val="green"/>
        </w:rPr>
      </w:pPr>
      <w:r w:rsidRPr="005142C0">
        <w:rPr>
          <w:rFonts w:ascii="Arial Narrow" w:hAnsi="Arial Narrow"/>
          <w:highlight w:val="green"/>
        </w:rPr>
        <w:t xml:space="preserve">la finalisation de l'élaboration du </w:t>
      </w:r>
      <w:r w:rsidR="00B463E9" w:rsidRPr="005142C0">
        <w:rPr>
          <w:rFonts w:ascii="Arial Narrow" w:hAnsi="Arial Narrow"/>
          <w:highlight w:val="green"/>
        </w:rPr>
        <w:t>R</w:t>
      </w:r>
      <w:r w:rsidRPr="005142C0">
        <w:rPr>
          <w:rFonts w:ascii="Arial Narrow" w:hAnsi="Arial Narrow"/>
          <w:highlight w:val="green"/>
        </w:rPr>
        <w:t xml:space="preserve">apport sur la coopération au développement 2018 et la production du </w:t>
      </w:r>
      <w:r w:rsidR="00B463E9" w:rsidRPr="005142C0">
        <w:rPr>
          <w:rFonts w:ascii="Arial Narrow" w:hAnsi="Arial Narrow"/>
          <w:highlight w:val="green"/>
        </w:rPr>
        <w:t>R</w:t>
      </w:r>
      <w:r w:rsidRPr="005142C0">
        <w:rPr>
          <w:rFonts w:ascii="Arial Narrow" w:hAnsi="Arial Narrow"/>
          <w:highlight w:val="green"/>
        </w:rPr>
        <w:t xml:space="preserve">apport sur la coopération au développement 2019 (élaboration et impression). </w:t>
      </w:r>
    </w:p>
    <w:p w14:paraId="477718DD" w14:textId="77777777" w:rsidR="00822572" w:rsidRPr="005142C0" w:rsidRDefault="00822572" w:rsidP="00822572">
      <w:pPr>
        <w:jc w:val="both"/>
        <w:rPr>
          <w:rFonts w:ascii="Arial Narrow" w:hAnsi="Arial Narrow"/>
          <w:sz w:val="24"/>
          <w:szCs w:val="24"/>
          <w:highlight w:val="green"/>
        </w:rPr>
      </w:pPr>
    </w:p>
    <w:p w14:paraId="3F01B8AB" w14:textId="77777777" w:rsidR="009E6EB2" w:rsidRPr="00822572" w:rsidRDefault="009E6EB2" w:rsidP="00822572">
      <w:pPr>
        <w:jc w:val="both"/>
        <w:rPr>
          <w:rFonts w:ascii="Arial Narrow" w:hAnsi="Arial Narrow"/>
          <w:sz w:val="24"/>
          <w:szCs w:val="24"/>
        </w:rPr>
      </w:pPr>
      <w:r w:rsidRPr="005142C0">
        <w:rPr>
          <w:rFonts w:ascii="Arial Narrow" w:hAnsi="Arial Narrow"/>
          <w:sz w:val="24"/>
          <w:szCs w:val="24"/>
          <w:highlight w:val="green"/>
        </w:rPr>
        <w:t>La quatrième activité</w:t>
      </w:r>
      <w:r w:rsidR="00822572" w:rsidRPr="005142C0">
        <w:rPr>
          <w:rFonts w:ascii="Arial Narrow" w:hAnsi="Arial Narrow"/>
          <w:sz w:val="24"/>
          <w:szCs w:val="24"/>
          <w:highlight w:val="green"/>
        </w:rPr>
        <w:t>,</w:t>
      </w:r>
      <w:r w:rsidR="001E5A87" w:rsidRPr="005142C0">
        <w:rPr>
          <w:rFonts w:ascii="Arial Narrow" w:hAnsi="Arial Narrow"/>
          <w:sz w:val="24"/>
          <w:szCs w:val="24"/>
          <w:highlight w:val="green"/>
        </w:rPr>
        <w:t xml:space="preserve"> « </w:t>
      </w:r>
      <w:r w:rsidR="00B463E9" w:rsidRPr="005142C0">
        <w:rPr>
          <w:rFonts w:ascii="Arial Narrow" w:hAnsi="Arial Narrow"/>
          <w:sz w:val="24"/>
          <w:szCs w:val="24"/>
          <w:highlight w:val="green"/>
        </w:rPr>
        <w:t>Rendre fonctionnel et animer le SIGAP (Système Intégré de Gestion de l’Aide Publique)</w:t>
      </w:r>
      <w:r w:rsidR="001E5A87" w:rsidRPr="005142C0">
        <w:rPr>
          <w:rFonts w:ascii="Arial Narrow" w:hAnsi="Arial Narrow"/>
          <w:sz w:val="24"/>
          <w:szCs w:val="24"/>
          <w:highlight w:val="green"/>
        </w:rPr>
        <w:t> »</w:t>
      </w:r>
      <w:r w:rsidR="00822572" w:rsidRPr="005142C0">
        <w:rPr>
          <w:rFonts w:ascii="Arial Narrow" w:hAnsi="Arial Narrow"/>
          <w:sz w:val="24"/>
          <w:szCs w:val="24"/>
          <w:highlight w:val="green"/>
        </w:rPr>
        <w:t>,</w:t>
      </w:r>
      <w:r w:rsidRPr="005142C0">
        <w:rPr>
          <w:rFonts w:ascii="Arial Narrow" w:hAnsi="Arial Narrow"/>
          <w:sz w:val="24"/>
          <w:szCs w:val="24"/>
          <w:highlight w:val="green"/>
        </w:rPr>
        <w:t xml:space="preserve"> concernait </w:t>
      </w:r>
      <w:r w:rsidR="001E5A87" w:rsidRPr="005142C0">
        <w:rPr>
          <w:rFonts w:ascii="Arial Narrow" w:hAnsi="Arial Narrow"/>
          <w:sz w:val="24"/>
          <w:szCs w:val="24"/>
          <w:highlight w:val="green"/>
        </w:rPr>
        <w:t xml:space="preserve">le SHA. En définitive, après examen du plan de travail annuel par le PNUD et des échanges qui s’en sont suivis, cette activité a été remplacée par </w:t>
      </w:r>
      <w:r w:rsidR="008118A1" w:rsidRPr="005142C0">
        <w:rPr>
          <w:rFonts w:ascii="Arial Narrow" w:hAnsi="Arial Narrow"/>
          <w:sz w:val="24"/>
          <w:szCs w:val="24"/>
          <w:highlight w:val="green"/>
        </w:rPr>
        <w:t>« </w:t>
      </w:r>
      <w:r w:rsidR="001E5A87" w:rsidRPr="005142C0">
        <w:rPr>
          <w:rFonts w:ascii="Arial Narrow" w:hAnsi="Arial Narrow"/>
          <w:sz w:val="24"/>
          <w:szCs w:val="24"/>
          <w:highlight w:val="green"/>
        </w:rPr>
        <w:t>l’Elaboration et la diffusion du CRMT</w:t>
      </w:r>
      <w:r w:rsidR="008118A1" w:rsidRPr="005142C0">
        <w:rPr>
          <w:rFonts w:ascii="Arial Narrow" w:hAnsi="Arial Narrow"/>
          <w:sz w:val="24"/>
          <w:szCs w:val="24"/>
          <w:highlight w:val="green"/>
        </w:rPr>
        <w:t> »</w:t>
      </w:r>
      <w:r w:rsidR="001E5A87" w:rsidRPr="005142C0">
        <w:rPr>
          <w:rFonts w:ascii="Arial Narrow" w:hAnsi="Arial Narrow"/>
          <w:sz w:val="24"/>
          <w:szCs w:val="24"/>
          <w:highlight w:val="green"/>
        </w:rPr>
        <w:t xml:space="preserve">. </w:t>
      </w:r>
      <w:r w:rsidRPr="005142C0">
        <w:rPr>
          <w:rFonts w:ascii="Arial Narrow" w:hAnsi="Arial Narrow"/>
          <w:sz w:val="24"/>
          <w:szCs w:val="24"/>
          <w:highlight w:val="green"/>
        </w:rPr>
        <w:t>Un prestataire a été commis pour son élaboration. La  prestation y afférente avait été réalisée en fin 2019 et son règlement a été effectué en 2020</w:t>
      </w:r>
      <w:r w:rsidRPr="00822572">
        <w:rPr>
          <w:rFonts w:ascii="Arial Narrow" w:hAnsi="Arial Narrow"/>
          <w:sz w:val="24"/>
          <w:szCs w:val="24"/>
        </w:rPr>
        <w:t>.</w:t>
      </w:r>
    </w:p>
    <w:p w14:paraId="40163E8E" w14:textId="77777777" w:rsidR="009E6EB2" w:rsidRPr="0059504F" w:rsidRDefault="009E6EB2" w:rsidP="00E15C85">
      <w:pPr>
        <w:pStyle w:val="Paragraphedeliste"/>
        <w:numPr>
          <w:ilvl w:val="0"/>
          <w:numId w:val="5"/>
        </w:numPr>
        <w:suppressAutoHyphens w:val="0"/>
        <w:jc w:val="both"/>
        <w:outlineLvl w:val="0"/>
        <w:rPr>
          <w:rFonts w:ascii="Arial Narrow" w:hAnsi="Arial Narrow"/>
          <w:b/>
          <w:sz w:val="28"/>
          <w:szCs w:val="28"/>
        </w:rPr>
      </w:pPr>
      <w:bookmarkStart w:id="14" w:name="_Toc536706916"/>
      <w:bookmarkStart w:id="15" w:name="_Toc48742286"/>
      <w:r w:rsidRPr="0059504F">
        <w:rPr>
          <w:rFonts w:ascii="Arial Narrow" w:hAnsi="Arial Narrow"/>
          <w:b/>
          <w:sz w:val="28"/>
          <w:szCs w:val="28"/>
        </w:rPr>
        <w:t>EXECUTION FINANCIERE</w:t>
      </w:r>
      <w:bookmarkEnd w:id="14"/>
      <w:bookmarkEnd w:id="15"/>
      <w:r w:rsidRPr="0059504F">
        <w:rPr>
          <w:rFonts w:ascii="Arial Narrow" w:hAnsi="Arial Narrow"/>
          <w:b/>
          <w:sz w:val="28"/>
          <w:szCs w:val="28"/>
        </w:rPr>
        <w:t xml:space="preserve"> </w:t>
      </w:r>
    </w:p>
    <w:p w14:paraId="306A9D89" w14:textId="77777777" w:rsidR="009E6EB2" w:rsidRDefault="009E6EB2" w:rsidP="005749B2">
      <w:pPr>
        <w:rPr>
          <w:rFonts w:ascii="Arial Narrow" w:hAnsi="Arial Narrow"/>
        </w:rPr>
      </w:pPr>
    </w:p>
    <w:p w14:paraId="052A6358" w14:textId="77777777" w:rsidR="009E6EB2" w:rsidRPr="00C9349F" w:rsidRDefault="00236E25" w:rsidP="00C9349F">
      <w:pPr>
        <w:jc w:val="both"/>
        <w:rPr>
          <w:rFonts w:ascii="Arial Narrow" w:hAnsi="Arial Narrow"/>
          <w:sz w:val="24"/>
          <w:szCs w:val="24"/>
        </w:rPr>
      </w:pPr>
      <w:r w:rsidRPr="00C9349F">
        <w:rPr>
          <w:rFonts w:ascii="Arial Narrow" w:hAnsi="Arial Narrow"/>
          <w:sz w:val="24"/>
          <w:szCs w:val="24"/>
        </w:rPr>
        <w:t>Le montant total alloué par le PNUD au titre des activités phares au compte des quatre structures s’élevait à Cent dix millions deux cent quarante-neuf mille sept cent quarante-cinq (110 249 745) francs CFA.</w:t>
      </w:r>
    </w:p>
    <w:p w14:paraId="4631E0E3" w14:textId="77777777" w:rsidR="00236E25" w:rsidRPr="00C9349F" w:rsidRDefault="00236E25" w:rsidP="00C9349F">
      <w:pPr>
        <w:jc w:val="both"/>
        <w:rPr>
          <w:rFonts w:ascii="Arial Narrow" w:hAnsi="Arial Narrow"/>
          <w:sz w:val="24"/>
          <w:szCs w:val="24"/>
        </w:rPr>
      </w:pPr>
      <w:r w:rsidRPr="00C9349F">
        <w:rPr>
          <w:rFonts w:ascii="Arial Narrow" w:hAnsi="Arial Narrow"/>
          <w:sz w:val="24"/>
          <w:szCs w:val="24"/>
        </w:rPr>
        <w:t>Les dépenses totales effectuées par les quatre structures se sont élevées à Quatre-vingt-un millions huit cent dix-huit mille deux cent quarante (81 818 240) francs CFA, soit un taux global d’exécution de 74%</w:t>
      </w:r>
      <w:r w:rsidR="00D834CB" w:rsidRPr="00C9349F">
        <w:rPr>
          <w:rFonts w:ascii="Arial Narrow" w:hAnsi="Arial Narrow"/>
          <w:sz w:val="24"/>
          <w:szCs w:val="24"/>
        </w:rPr>
        <w:t>.</w:t>
      </w:r>
    </w:p>
    <w:tbl>
      <w:tblPr>
        <w:tblW w:w="5000" w:type="pct"/>
        <w:tblLook w:val="04A0" w:firstRow="1" w:lastRow="0" w:firstColumn="1" w:lastColumn="0" w:noHBand="0" w:noVBand="1"/>
      </w:tblPr>
      <w:tblGrid>
        <w:gridCol w:w="2558"/>
        <w:gridCol w:w="2507"/>
        <w:gridCol w:w="2268"/>
        <w:gridCol w:w="1673"/>
      </w:tblGrid>
      <w:tr w:rsidR="00822572" w:rsidRPr="0043466F" w14:paraId="27688145" w14:textId="77777777" w:rsidTr="00F82188">
        <w:trPr>
          <w:trHeight w:val="495"/>
        </w:trPr>
        <w:tc>
          <w:tcPr>
            <w:tcW w:w="1420" w:type="pct"/>
            <w:vMerge w:val="restart"/>
            <w:tcBorders>
              <w:top w:val="single" w:sz="8" w:space="0" w:color="auto"/>
              <w:left w:val="single" w:sz="8" w:space="0" w:color="auto"/>
              <w:bottom w:val="nil"/>
              <w:right w:val="single" w:sz="8" w:space="0" w:color="auto"/>
            </w:tcBorders>
            <w:shd w:val="clear" w:color="000000" w:fill="92D050"/>
            <w:vAlign w:val="center"/>
            <w:hideMark/>
          </w:tcPr>
          <w:p w14:paraId="028D4DF8" w14:textId="77777777" w:rsidR="0043466F" w:rsidRPr="0043466F" w:rsidRDefault="0043466F" w:rsidP="0043466F">
            <w:pPr>
              <w:spacing w:after="0" w:line="240" w:lineRule="auto"/>
              <w:jc w:val="center"/>
              <w:rPr>
                <w:rFonts w:ascii="Arial Narrow" w:eastAsia="Times New Roman" w:hAnsi="Arial Narrow" w:cs="Calibri"/>
                <w:b/>
                <w:bCs/>
                <w:color w:val="000000"/>
                <w:sz w:val="18"/>
                <w:szCs w:val="18"/>
                <w:lang w:val="en-US"/>
              </w:rPr>
            </w:pPr>
            <w:r w:rsidRPr="0043466F">
              <w:rPr>
                <w:rFonts w:ascii="Arial Narrow" w:eastAsia="Times New Roman" w:hAnsi="Arial Narrow" w:cs="Calibri"/>
                <w:b/>
                <w:bCs/>
                <w:color w:val="000000"/>
                <w:sz w:val="18"/>
                <w:szCs w:val="18"/>
                <w:lang w:val="en-US"/>
              </w:rPr>
              <w:t>STRUCTURES</w:t>
            </w:r>
          </w:p>
        </w:tc>
        <w:tc>
          <w:tcPr>
            <w:tcW w:w="3580" w:type="pct"/>
            <w:gridSpan w:val="3"/>
            <w:tcBorders>
              <w:top w:val="single" w:sz="8" w:space="0" w:color="auto"/>
              <w:left w:val="nil"/>
              <w:bottom w:val="single" w:sz="8" w:space="0" w:color="auto"/>
              <w:right w:val="single" w:sz="8" w:space="0" w:color="000000"/>
            </w:tcBorders>
            <w:shd w:val="clear" w:color="000000" w:fill="92D050"/>
            <w:noWrap/>
            <w:vAlign w:val="center"/>
            <w:hideMark/>
          </w:tcPr>
          <w:p w14:paraId="01F4CCFC" w14:textId="77777777" w:rsidR="0043466F" w:rsidRPr="0043466F" w:rsidRDefault="0043466F" w:rsidP="0043466F">
            <w:pPr>
              <w:spacing w:after="0" w:line="240" w:lineRule="auto"/>
              <w:jc w:val="center"/>
              <w:rPr>
                <w:rFonts w:ascii="Arial Narrow" w:eastAsia="Times New Roman" w:hAnsi="Arial Narrow" w:cs="Calibri"/>
                <w:b/>
                <w:bCs/>
                <w:color w:val="000000"/>
                <w:sz w:val="18"/>
                <w:szCs w:val="18"/>
                <w:lang w:val="en-US"/>
              </w:rPr>
            </w:pPr>
            <w:r w:rsidRPr="00F82188">
              <w:rPr>
                <w:rFonts w:ascii="Arial Narrow" w:eastAsia="Times New Roman" w:hAnsi="Arial Narrow" w:cs="Calibri"/>
                <w:b/>
                <w:bCs/>
                <w:color w:val="000000"/>
                <w:sz w:val="18"/>
                <w:szCs w:val="18"/>
              </w:rPr>
              <w:t>Montants</w:t>
            </w:r>
            <w:r w:rsidRPr="0043466F">
              <w:rPr>
                <w:rFonts w:ascii="Arial Narrow" w:eastAsia="Times New Roman" w:hAnsi="Arial Narrow" w:cs="Calibri"/>
                <w:b/>
                <w:bCs/>
                <w:color w:val="000000"/>
                <w:sz w:val="18"/>
                <w:szCs w:val="18"/>
                <w:lang w:val="en-US"/>
              </w:rPr>
              <w:t xml:space="preserve"> PNUD (FCFA)</w:t>
            </w:r>
          </w:p>
        </w:tc>
      </w:tr>
      <w:tr w:rsidR="00F24B6A" w:rsidRPr="0043466F" w14:paraId="0AACDC69" w14:textId="77777777" w:rsidTr="00F82188">
        <w:trPr>
          <w:trHeight w:val="315"/>
        </w:trPr>
        <w:tc>
          <w:tcPr>
            <w:tcW w:w="1420" w:type="pct"/>
            <w:vMerge/>
            <w:tcBorders>
              <w:top w:val="single" w:sz="8" w:space="0" w:color="auto"/>
              <w:left w:val="single" w:sz="8" w:space="0" w:color="auto"/>
              <w:bottom w:val="nil"/>
              <w:right w:val="single" w:sz="8" w:space="0" w:color="auto"/>
            </w:tcBorders>
            <w:vAlign w:val="center"/>
            <w:hideMark/>
          </w:tcPr>
          <w:p w14:paraId="6F33F47F" w14:textId="77777777" w:rsidR="0043466F" w:rsidRPr="0043466F" w:rsidRDefault="0043466F" w:rsidP="0043466F">
            <w:pPr>
              <w:spacing w:after="0" w:line="240" w:lineRule="auto"/>
              <w:rPr>
                <w:rFonts w:ascii="Arial Narrow" w:eastAsia="Times New Roman" w:hAnsi="Arial Narrow" w:cs="Calibri"/>
                <w:b/>
                <w:bCs/>
                <w:color w:val="000000"/>
                <w:sz w:val="18"/>
                <w:szCs w:val="18"/>
                <w:lang w:val="en-US"/>
              </w:rPr>
            </w:pPr>
          </w:p>
        </w:tc>
        <w:tc>
          <w:tcPr>
            <w:tcW w:w="1392" w:type="pct"/>
            <w:tcBorders>
              <w:top w:val="nil"/>
              <w:left w:val="nil"/>
              <w:bottom w:val="nil"/>
              <w:right w:val="single" w:sz="8" w:space="0" w:color="auto"/>
            </w:tcBorders>
            <w:shd w:val="clear" w:color="000000" w:fill="BFBFBF"/>
            <w:noWrap/>
            <w:vAlign w:val="center"/>
            <w:hideMark/>
          </w:tcPr>
          <w:p w14:paraId="3737ACCA" w14:textId="77777777" w:rsidR="0043466F" w:rsidRPr="00524D08" w:rsidRDefault="0043466F" w:rsidP="0043466F">
            <w:pPr>
              <w:spacing w:after="0" w:line="240" w:lineRule="auto"/>
              <w:jc w:val="center"/>
              <w:rPr>
                <w:rFonts w:ascii="Arial Narrow" w:eastAsia="Times New Roman" w:hAnsi="Arial Narrow" w:cs="Calibri"/>
                <w:b/>
                <w:bCs/>
                <w:color w:val="000000"/>
                <w:sz w:val="18"/>
                <w:szCs w:val="18"/>
              </w:rPr>
            </w:pPr>
            <w:r w:rsidRPr="00524D08">
              <w:rPr>
                <w:rFonts w:ascii="Arial Narrow" w:eastAsia="Times New Roman" w:hAnsi="Arial Narrow" w:cs="Calibri"/>
                <w:b/>
                <w:bCs/>
                <w:color w:val="000000"/>
                <w:sz w:val="18"/>
                <w:szCs w:val="18"/>
              </w:rPr>
              <w:t>Prévision</w:t>
            </w:r>
          </w:p>
        </w:tc>
        <w:tc>
          <w:tcPr>
            <w:tcW w:w="1259" w:type="pct"/>
            <w:tcBorders>
              <w:top w:val="nil"/>
              <w:left w:val="nil"/>
              <w:bottom w:val="nil"/>
              <w:right w:val="single" w:sz="8" w:space="0" w:color="auto"/>
            </w:tcBorders>
            <w:shd w:val="clear" w:color="000000" w:fill="BFBFBF"/>
            <w:noWrap/>
            <w:vAlign w:val="center"/>
            <w:hideMark/>
          </w:tcPr>
          <w:p w14:paraId="6DEC9693" w14:textId="77777777" w:rsidR="0043466F" w:rsidRPr="00524D08" w:rsidRDefault="0043466F" w:rsidP="0043466F">
            <w:pPr>
              <w:spacing w:after="0" w:line="240" w:lineRule="auto"/>
              <w:jc w:val="center"/>
              <w:rPr>
                <w:rFonts w:ascii="Arial Narrow" w:eastAsia="Times New Roman" w:hAnsi="Arial Narrow" w:cs="Calibri"/>
                <w:b/>
                <w:bCs/>
                <w:color w:val="000000"/>
                <w:sz w:val="18"/>
                <w:szCs w:val="18"/>
              </w:rPr>
            </w:pPr>
            <w:r w:rsidRPr="00524D08">
              <w:rPr>
                <w:rFonts w:ascii="Arial Narrow" w:eastAsia="Times New Roman" w:hAnsi="Arial Narrow" w:cs="Calibri"/>
                <w:b/>
                <w:bCs/>
                <w:color w:val="000000"/>
                <w:sz w:val="18"/>
                <w:szCs w:val="18"/>
              </w:rPr>
              <w:t>Mobilisation</w:t>
            </w:r>
          </w:p>
        </w:tc>
        <w:tc>
          <w:tcPr>
            <w:tcW w:w="929" w:type="pct"/>
            <w:tcBorders>
              <w:top w:val="nil"/>
              <w:left w:val="nil"/>
              <w:bottom w:val="nil"/>
              <w:right w:val="single" w:sz="8" w:space="0" w:color="auto"/>
            </w:tcBorders>
            <w:shd w:val="clear" w:color="000000" w:fill="BFBFBF"/>
            <w:noWrap/>
            <w:vAlign w:val="center"/>
            <w:hideMark/>
          </w:tcPr>
          <w:p w14:paraId="28597366" w14:textId="77777777" w:rsidR="0043466F" w:rsidRPr="00524D08" w:rsidRDefault="0043466F" w:rsidP="0043466F">
            <w:pPr>
              <w:spacing w:after="0" w:line="240" w:lineRule="auto"/>
              <w:jc w:val="center"/>
              <w:rPr>
                <w:rFonts w:ascii="Arial Narrow" w:eastAsia="Times New Roman" w:hAnsi="Arial Narrow" w:cs="Calibri"/>
                <w:b/>
                <w:bCs/>
                <w:color w:val="000000"/>
                <w:sz w:val="18"/>
                <w:szCs w:val="18"/>
              </w:rPr>
            </w:pPr>
            <w:r w:rsidRPr="00524D08">
              <w:rPr>
                <w:rFonts w:ascii="Arial Narrow" w:eastAsia="Times New Roman" w:hAnsi="Arial Narrow" w:cs="Calibri"/>
                <w:b/>
                <w:bCs/>
                <w:color w:val="000000"/>
                <w:sz w:val="18"/>
                <w:szCs w:val="18"/>
              </w:rPr>
              <w:t>Tx d'exécution</w:t>
            </w:r>
          </w:p>
        </w:tc>
      </w:tr>
      <w:tr w:rsidR="00822572" w:rsidRPr="0043466F" w14:paraId="71F39ED9" w14:textId="77777777" w:rsidTr="00F82188">
        <w:trPr>
          <w:trHeight w:val="330"/>
        </w:trPr>
        <w:tc>
          <w:tcPr>
            <w:tcW w:w="142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905F25" w14:textId="77777777" w:rsidR="0043466F" w:rsidRPr="0043466F" w:rsidRDefault="0043466F" w:rsidP="0043466F">
            <w:pPr>
              <w:spacing w:after="0" w:line="240" w:lineRule="auto"/>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CSLP</w:t>
            </w:r>
          </w:p>
        </w:tc>
        <w:tc>
          <w:tcPr>
            <w:tcW w:w="1392" w:type="pct"/>
            <w:tcBorders>
              <w:top w:val="single" w:sz="8" w:space="0" w:color="auto"/>
              <w:left w:val="nil"/>
              <w:bottom w:val="single" w:sz="4" w:space="0" w:color="auto"/>
              <w:right w:val="single" w:sz="8" w:space="0" w:color="auto"/>
            </w:tcBorders>
            <w:shd w:val="clear" w:color="auto" w:fill="auto"/>
            <w:noWrap/>
            <w:vAlign w:val="bottom"/>
            <w:hideMark/>
          </w:tcPr>
          <w:p w14:paraId="519ECE5B"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43 600 745   </w:t>
            </w:r>
          </w:p>
        </w:tc>
        <w:tc>
          <w:tcPr>
            <w:tcW w:w="1259" w:type="pct"/>
            <w:tcBorders>
              <w:top w:val="single" w:sz="8" w:space="0" w:color="auto"/>
              <w:left w:val="nil"/>
              <w:bottom w:val="single" w:sz="4" w:space="0" w:color="auto"/>
              <w:right w:val="single" w:sz="8" w:space="0" w:color="auto"/>
            </w:tcBorders>
            <w:shd w:val="clear" w:color="auto" w:fill="auto"/>
            <w:noWrap/>
            <w:vAlign w:val="bottom"/>
            <w:hideMark/>
          </w:tcPr>
          <w:p w14:paraId="545F5093"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27 284 419   </w:t>
            </w:r>
          </w:p>
        </w:tc>
        <w:tc>
          <w:tcPr>
            <w:tcW w:w="929" w:type="pct"/>
            <w:tcBorders>
              <w:top w:val="single" w:sz="8" w:space="0" w:color="auto"/>
              <w:left w:val="nil"/>
              <w:bottom w:val="single" w:sz="4" w:space="0" w:color="auto"/>
              <w:right w:val="single" w:sz="8" w:space="0" w:color="auto"/>
            </w:tcBorders>
            <w:shd w:val="clear" w:color="auto" w:fill="auto"/>
            <w:noWrap/>
            <w:vAlign w:val="bottom"/>
            <w:hideMark/>
          </w:tcPr>
          <w:p w14:paraId="67A2F73C" w14:textId="77777777" w:rsidR="0043466F" w:rsidRPr="0043466F" w:rsidRDefault="0043466F" w:rsidP="0043466F">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63%</w:t>
            </w:r>
          </w:p>
        </w:tc>
      </w:tr>
      <w:tr w:rsidR="00822572" w:rsidRPr="0043466F" w14:paraId="65BD53EF" w14:textId="77777777" w:rsidTr="00F82188">
        <w:trPr>
          <w:trHeight w:val="330"/>
        </w:trPr>
        <w:tc>
          <w:tcPr>
            <w:tcW w:w="1420" w:type="pct"/>
            <w:tcBorders>
              <w:top w:val="nil"/>
              <w:left w:val="single" w:sz="8" w:space="0" w:color="auto"/>
              <w:bottom w:val="single" w:sz="4" w:space="0" w:color="auto"/>
              <w:right w:val="single" w:sz="8" w:space="0" w:color="auto"/>
            </w:tcBorders>
            <w:shd w:val="clear" w:color="auto" w:fill="auto"/>
            <w:noWrap/>
            <w:vAlign w:val="bottom"/>
            <w:hideMark/>
          </w:tcPr>
          <w:p w14:paraId="2A21D3CF" w14:textId="77777777" w:rsidR="0043466F" w:rsidRPr="0043466F" w:rsidRDefault="0043466F" w:rsidP="0043466F">
            <w:pPr>
              <w:spacing w:after="0" w:line="240" w:lineRule="auto"/>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ODHD</w:t>
            </w:r>
          </w:p>
        </w:tc>
        <w:tc>
          <w:tcPr>
            <w:tcW w:w="1392" w:type="pct"/>
            <w:tcBorders>
              <w:top w:val="nil"/>
              <w:left w:val="nil"/>
              <w:bottom w:val="single" w:sz="4" w:space="0" w:color="auto"/>
              <w:right w:val="single" w:sz="8" w:space="0" w:color="auto"/>
            </w:tcBorders>
            <w:shd w:val="clear" w:color="auto" w:fill="auto"/>
            <w:noWrap/>
            <w:vAlign w:val="bottom"/>
            <w:hideMark/>
          </w:tcPr>
          <w:p w14:paraId="6EC7721B"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20 000 000   </w:t>
            </w:r>
          </w:p>
        </w:tc>
        <w:tc>
          <w:tcPr>
            <w:tcW w:w="1259" w:type="pct"/>
            <w:tcBorders>
              <w:top w:val="nil"/>
              <w:left w:val="nil"/>
              <w:bottom w:val="single" w:sz="4" w:space="0" w:color="auto"/>
              <w:right w:val="single" w:sz="8" w:space="0" w:color="auto"/>
            </w:tcBorders>
            <w:shd w:val="clear" w:color="auto" w:fill="auto"/>
            <w:noWrap/>
            <w:vAlign w:val="bottom"/>
            <w:hideMark/>
          </w:tcPr>
          <w:p w14:paraId="747161B4"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19 639 840   </w:t>
            </w:r>
          </w:p>
        </w:tc>
        <w:tc>
          <w:tcPr>
            <w:tcW w:w="929" w:type="pct"/>
            <w:tcBorders>
              <w:top w:val="nil"/>
              <w:left w:val="nil"/>
              <w:bottom w:val="single" w:sz="4" w:space="0" w:color="auto"/>
              <w:right w:val="single" w:sz="8" w:space="0" w:color="auto"/>
            </w:tcBorders>
            <w:shd w:val="clear" w:color="auto" w:fill="auto"/>
            <w:noWrap/>
            <w:vAlign w:val="bottom"/>
            <w:hideMark/>
          </w:tcPr>
          <w:p w14:paraId="3CBE25CF" w14:textId="77777777" w:rsidR="0043466F" w:rsidRPr="0043466F" w:rsidRDefault="0043466F" w:rsidP="0043466F">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98%</w:t>
            </w:r>
          </w:p>
        </w:tc>
      </w:tr>
      <w:tr w:rsidR="00822572" w:rsidRPr="0043466F" w14:paraId="39F7FD66" w14:textId="77777777" w:rsidTr="00F82188">
        <w:trPr>
          <w:trHeight w:val="330"/>
        </w:trPr>
        <w:tc>
          <w:tcPr>
            <w:tcW w:w="1420" w:type="pct"/>
            <w:tcBorders>
              <w:top w:val="nil"/>
              <w:left w:val="single" w:sz="8" w:space="0" w:color="auto"/>
              <w:bottom w:val="single" w:sz="4" w:space="0" w:color="auto"/>
              <w:right w:val="single" w:sz="8" w:space="0" w:color="auto"/>
            </w:tcBorders>
            <w:shd w:val="clear" w:color="auto" w:fill="auto"/>
            <w:noWrap/>
            <w:vAlign w:val="bottom"/>
            <w:hideMark/>
          </w:tcPr>
          <w:p w14:paraId="2B49DA95" w14:textId="77777777" w:rsidR="0043466F" w:rsidRPr="0043466F" w:rsidRDefault="0043466F" w:rsidP="0043466F">
            <w:pPr>
              <w:spacing w:after="0" w:line="240" w:lineRule="auto"/>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SHA</w:t>
            </w:r>
          </w:p>
        </w:tc>
        <w:tc>
          <w:tcPr>
            <w:tcW w:w="1392" w:type="pct"/>
            <w:tcBorders>
              <w:top w:val="nil"/>
              <w:left w:val="nil"/>
              <w:bottom w:val="single" w:sz="4" w:space="0" w:color="auto"/>
              <w:right w:val="single" w:sz="8" w:space="0" w:color="auto"/>
            </w:tcBorders>
            <w:shd w:val="clear" w:color="auto" w:fill="auto"/>
            <w:noWrap/>
            <w:vAlign w:val="bottom"/>
            <w:hideMark/>
          </w:tcPr>
          <w:p w14:paraId="4B53490A"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15 000 000   </w:t>
            </w:r>
          </w:p>
        </w:tc>
        <w:tc>
          <w:tcPr>
            <w:tcW w:w="1259" w:type="pct"/>
            <w:tcBorders>
              <w:top w:val="nil"/>
              <w:left w:val="nil"/>
              <w:bottom w:val="single" w:sz="4" w:space="0" w:color="auto"/>
              <w:right w:val="single" w:sz="8" w:space="0" w:color="auto"/>
            </w:tcBorders>
            <w:shd w:val="clear" w:color="auto" w:fill="auto"/>
            <w:noWrap/>
            <w:vAlign w:val="bottom"/>
            <w:hideMark/>
          </w:tcPr>
          <w:p w14:paraId="5525E657"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15 000 000   </w:t>
            </w:r>
          </w:p>
        </w:tc>
        <w:tc>
          <w:tcPr>
            <w:tcW w:w="929" w:type="pct"/>
            <w:tcBorders>
              <w:top w:val="nil"/>
              <w:left w:val="nil"/>
              <w:bottom w:val="single" w:sz="4" w:space="0" w:color="auto"/>
              <w:right w:val="single" w:sz="8" w:space="0" w:color="auto"/>
            </w:tcBorders>
            <w:shd w:val="clear" w:color="auto" w:fill="auto"/>
            <w:noWrap/>
            <w:vAlign w:val="bottom"/>
            <w:hideMark/>
          </w:tcPr>
          <w:p w14:paraId="2A026C0D" w14:textId="77777777" w:rsidR="0043466F" w:rsidRPr="0043466F" w:rsidRDefault="0043466F" w:rsidP="0043466F">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100%</w:t>
            </w:r>
          </w:p>
        </w:tc>
      </w:tr>
      <w:tr w:rsidR="00822572" w:rsidRPr="0043466F" w14:paraId="6CA39120" w14:textId="77777777" w:rsidTr="00F82188">
        <w:trPr>
          <w:trHeight w:val="330"/>
        </w:trPr>
        <w:tc>
          <w:tcPr>
            <w:tcW w:w="1420" w:type="pct"/>
            <w:tcBorders>
              <w:top w:val="nil"/>
              <w:left w:val="single" w:sz="8" w:space="0" w:color="auto"/>
              <w:bottom w:val="single" w:sz="4" w:space="0" w:color="auto"/>
              <w:right w:val="single" w:sz="8" w:space="0" w:color="auto"/>
            </w:tcBorders>
            <w:shd w:val="clear" w:color="auto" w:fill="auto"/>
            <w:noWrap/>
            <w:vAlign w:val="bottom"/>
            <w:hideMark/>
          </w:tcPr>
          <w:p w14:paraId="79C10140" w14:textId="77777777" w:rsidR="0043466F" w:rsidRPr="0043466F" w:rsidRDefault="0043466F" w:rsidP="0043466F">
            <w:pPr>
              <w:spacing w:after="0" w:line="240" w:lineRule="auto"/>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DCM</w:t>
            </w:r>
          </w:p>
        </w:tc>
        <w:tc>
          <w:tcPr>
            <w:tcW w:w="1392" w:type="pct"/>
            <w:tcBorders>
              <w:top w:val="nil"/>
              <w:left w:val="nil"/>
              <w:bottom w:val="single" w:sz="4" w:space="0" w:color="auto"/>
              <w:right w:val="single" w:sz="8" w:space="0" w:color="auto"/>
            </w:tcBorders>
            <w:shd w:val="clear" w:color="auto" w:fill="auto"/>
            <w:noWrap/>
            <w:vAlign w:val="bottom"/>
            <w:hideMark/>
          </w:tcPr>
          <w:p w14:paraId="7C59F439"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31 649 000   </w:t>
            </w:r>
          </w:p>
        </w:tc>
        <w:tc>
          <w:tcPr>
            <w:tcW w:w="1259" w:type="pct"/>
            <w:tcBorders>
              <w:top w:val="nil"/>
              <w:left w:val="nil"/>
              <w:bottom w:val="single" w:sz="4" w:space="0" w:color="auto"/>
              <w:right w:val="single" w:sz="8" w:space="0" w:color="auto"/>
            </w:tcBorders>
            <w:shd w:val="clear" w:color="auto" w:fill="auto"/>
            <w:noWrap/>
            <w:vAlign w:val="bottom"/>
            <w:hideMark/>
          </w:tcPr>
          <w:p w14:paraId="21FB3834" w14:textId="77777777" w:rsidR="0043466F" w:rsidRPr="0043466F" w:rsidRDefault="0043466F" w:rsidP="00716527">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 xml:space="preserve">          19 893 981   </w:t>
            </w:r>
          </w:p>
        </w:tc>
        <w:tc>
          <w:tcPr>
            <w:tcW w:w="929" w:type="pct"/>
            <w:tcBorders>
              <w:top w:val="nil"/>
              <w:left w:val="nil"/>
              <w:bottom w:val="single" w:sz="4" w:space="0" w:color="auto"/>
              <w:right w:val="single" w:sz="8" w:space="0" w:color="auto"/>
            </w:tcBorders>
            <w:shd w:val="clear" w:color="auto" w:fill="auto"/>
            <w:noWrap/>
            <w:vAlign w:val="bottom"/>
            <w:hideMark/>
          </w:tcPr>
          <w:p w14:paraId="3DA7E25B" w14:textId="77777777" w:rsidR="0043466F" w:rsidRPr="0043466F" w:rsidRDefault="0043466F" w:rsidP="0043466F">
            <w:pPr>
              <w:spacing w:after="0" w:line="240" w:lineRule="auto"/>
              <w:jc w:val="right"/>
              <w:rPr>
                <w:rFonts w:ascii="Arial Narrow" w:eastAsia="Times New Roman" w:hAnsi="Arial Narrow" w:cs="Calibri"/>
                <w:color w:val="000000"/>
                <w:lang w:val="en-US"/>
              </w:rPr>
            </w:pPr>
            <w:r w:rsidRPr="0043466F">
              <w:rPr>
                <w:rFonts w:ascii="Arial Narrow" w:eastAsia="Times New Roman" w:hAnsi="Arial Narrow" w:cs="Calibri"/>
                <w:color w:val="000000"/>
                <w:lang w:val="en-US"/>
              </w:rPr>
              <w:t>63%</w:t>
            </w:r>
          </w:p>
        </w:tc>
      </w:tr>
      <w:tr w:rsidR="00822572" w:rsidRPr="0043466F" w14:paraId="467DC06B" w14:textId="77777777" w:rsidTr="00F82188">
        <w:trPr>
          <w:trHeight w:val="345"/>
        </w:trPr>
        <w:tc>
          <w:tcPr>
            <w:tcW w:w="1420" w:type="pct"/>
            <w:tcBorders>
              <w:top w:val="nil"/>
              <w:left w:val="single" w:sz="8" w:space="0" w:color="auto"/>
              <w:bottom w:val="single" w:sz="8" w:space="0" w:color="auto"/>
              <w:right w:val="single" w:sz="8" w:space="0" w:color="auto"/>
            </w:tcBorders>
            <w:shd w:val="clear" w:color="auto" w:fill="auto"/>
            <w:noWrap/>
            <w:vAlign w:val="bottom"/>
            <w:hideMark/>
          </w:tcPr>
          <w:p w14:paraId="5A03712F" w14:textId="77777777" w:rsidR="0043466F" w:rsidRPr="0043466F" w:rsidRDefault="0043466F" w:rsidP="0043466F">
            <w:pPr>
              <w:spacing w:after="0" w:line="240" w:lineRule="auto"/>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TOTAL GENERAL</w:t>
            </w:r>
          </w:p>
        </w:tc>
        <w:tc>
          <w:tcPr>
            <w:tcW w:w="1392" w:type="pct"/>
            <w:tcBorders>
              <w:top w:val="nil"/>
              <w:left w:val="nil"/>
              <w:bottom w:val="single" w:sz="8" w:space="0" w:color="auto"/>
              <w:right w:val="single" w:sz="8" w:space="0" w:color="auto"/>
            </w:tcBorders>
            <w:shd w:val="clear" w:color="auto" w:fill="auto"/>
            <w:noWrap/>
            <w:vAlign w:val="bottom"/>
            <w:hideMark/>
          </w:tcPr>
          <w:p w14:paraId="5119FBF4" w14:textId="77777777" w:rsidR="0043466F" w:rsidRPr="0043466F" w:rsidRDefault="0043466F" w:rsidP="00716527">
            <w:pPr>
              <w:spacing w:after="0" w:line="240" w:lineRule="auto"/>
              <w:jc w:val="right"/>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 xml:space="preserve">          110 249 745   </w:t>
            </w:r>
          </w:p>
        </w:tc>
        <w:tc>
          <w:tcPr>
            <w:tcW w:w="1259" w:type="pct"/>
            <w:tcBorders>
              <w:top w:val="nil"/>
              <w:left w:val="nil"/>
              <w:bottom w:val="single" w:sz="8" w:space="0" w:color="auto"/>
              <w:right w:val="single" w:sz="8" w:space="0" w:color="auto"/>
            </w:tcBorders>
            <w:shd w:val="clear" w:color="auto" w:fill="auto"/>
            <w:noWrap/>
            <w:vAlign w:val="bottom"/>
            <w:hideMark/>
          </w:tcPr>
          <w:p w14:paraId="6CE39E59" w14:textId="77777777" w:rsidR="0043466F" w:rsidRPr="0043466F" w:rsidRDefault="0043466F" w:rsidP="00716527">
            <w:pPr>
              <w:spacing w:after="0" w:line="240" w:lineRule="auto"/>
              <w:jc w:val="right"/>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 xml:space="preserve">          81 818 240   </w:t>
            </w:r>
          </w:p>
        </w:tc>
        <w:tc>
          <w:tcPr>
            <w:tcW w:w="929" w:type="pct"/>
            <w:tcBorders>
              <w:top w:val="nil"/>
              <w:left w:val="nil"/>
              <w:bottom w:val="single" w:sz="8" w:space="0" w:color="auto"/>
              <w:right w:val="single" w:sz="8" w:space="0" w:color="auto"/>
            </w:tcBorders>
            <w:shd w:val="clear" w:color="auto" w:fill="auto"/>
            <w:noWrap/>
            <w:vAlign w:val="bottom"/>
            <w:hideMark/>
          </w:tcPr>
          <w:p w14:paraId="733EACF2" w14:textId="77777777" w:rsidR="0043466F" w:rsidRPr="0043466F" w:rsidRDefault="0043466F" w:rsidP="0043466F">
            <w:pPr>
              <w:spacing w:after="0" w:line="240" w:lineRule="auto"/>
              <w:jc w:val="right"/>
              <w:rPr>
                <w:rFonts w:ascii="Arial Narrow" w:eastAsia="Times New Roman" w:hAnsi="Arial Narrow" w:cs="Calibri"/>
                <w:b/>
                <w:bCs/>
                <w:color w:val="000000"/>
                <w:lang w:val="en-US"/>
              </w:rPr>
            </w:pPr>
            <w:r w:rsidRPr="0043466F">
              <w:rPr>
                <w:rFonts w:ascii="Arial Narrow" w:eastAsia="Times New Roman" w:hAnsi="Arial Narrow" w:cs="Calibri"/>
                <w:b/>
                <w:bCs/>
                <w:color w:val="000000"/>
                <w:lang w:val="en-US"/>
              </w:rPr>
              <w:t>74%</w:t>
            </w:r>
          </w:p>
        </w:tc>
      </w:tr>
    </w:tbl>
    <w:p w14:paraId="614B9020" w14:textId="77777777" w:rsidR="009E6EB2" w:rsidRDefault="009E6EB2" w:rsidP="005749B2">
      <w:pPr>
        <w:rPr>
          <w:rFonts w:ascii="Arial Narrow" w:hAnsi="Arial Narrow"/>
        </w:rPr>
      </w:pPr>
    </w:p>
    <w:p w14:paraId="2AE511DD" w14:textId="77777777" w:rsidR="008118A1" w:rsidRPr="00F82188" w:rsidRDefault="009E6EB2" w:rsidP="00F82188">
      <w:pPr>
        <w:pStyle w:val="Paragraphedeliste"/>
        <w:numPr>
          <w:ilvl w:val="0"/>
          <w:numId w:val="5"/>
        </w:numPr>
        <w:suppressAutoHyphens w:val="0"/>
        <w:jc w:val="both"/>
        <w:outlineLvl w:val="0"/>
        <w:rPr>
          <w:rFonts w:ascii="Arial Narrow" w:hAnsi="Arial Narrow"/>
          <w:b/>
          <w:sz w:val="28"/>
          <w:szCs w:val="28"/>
        </w:rPr>
      </w:pPr>
      <w:bookmarkStart w:id="16" w:name="_Toc536706917"/>
      <w:bookmarkStart w:id="17" w:name="_Toc48742287"/>
      <w:r w:rsidRPr="009D6A23">
        <w:rPr>
          <w:rFonts w:ascii="Arial Narrow" w:hAnsi="Arial Narrow"/>
          <w:b/>
          <w:sz w:val="28"/>
          <w:szCs w:val="28"/>
        </w:rPr>
        <w:t>CONTRAINTES ET DIFFICULTES</w:t>
      </w:r>
      <w:bookmarkEnd w:id="16"/>
      <w:bookmarkEnd w:id="17"/>
    </w:p>
    <w:p w14:paraId="30EB16E4" w14:textId="77777777" w:rsidR="008118A1" w:rsidRDefault="008118A1" w:rsidP="00F82188">
      <w:pPr>
        <w:ind w:left="720"/>
        <w:rPr>
          <w:rFonts w:ascii="Arial Narrow" w:hAnsi="Arial Narrow"/>
        </w:rPr>
      </w:pPr>
    </w:p>
    <w:p w14:paraId="45D9E6DE" w14:textId="77777777" w:rsidR="008118A1" w:rsidRDefault="008118A1" w:rsidP="008118A1">
      <w:pPr>
        <w:rPr>
          <w:rFonts w:ascii="Arial Narrow" w:hAnsi="Arial Narrow"/>
          <w:sz w:val="24"/>
          <w:szCs w:val="24"/>
        </w:rPr>
      </w:pPr>
      <w:r w:rsidRPr="00034F24">
        <w:rPr>
          <w:rFonts w:ascii="Arial Narrow" w:hAnsi="Arial Narrow"/>
          <w:sz w:val="24"/>
          <w:szCs w:val="24"/>
        </w:rPr>
        <w:t>Les</w:t>
      </w:r>
      <w:r w:rsidRPr="00454CA8">
        <w:rPr>
          <w:rFonts w:ascii="Arial Narrow" w:hAnsi="Arial Narrow"/>
          <w:sz w:val="24"/>
          <w:szCs w:val="24"/>
        </w:rPr>
        <w:t xml:space="preserve"> principale</w:t>
      </w:r>
      <w:r w:rsidRPr="0043466F">
        <w:rPr>
          <w:rFonts w:ascii="Arial Narrow" w:hAnsi="Arial Narrow"/>
          <w:sz w:val="24"/>
          <w:szCs w:val="24"/>
        </w:rPr>
        <w:t>s difficultés rencontrées sont </w:t>
      </w:r>
      <w:r w:rsidR="00034F24" w:rsidRPr="00F82188">
        <w:rPr>
          <w:rFonts w:ascii="Arial Narrow" w:eastAsia="Arial Unicode MS" w:hAnsi="Arial Narrow"/>
          <w:sz w:val="24"/>
          <w:szCs w:val="24"/>
        </w:rPr>
        <w:t>la faible dotation financière accordée aux structures dans le cadre du budget de 2020 du PAGER et la survenue de la maladie à coronavirus, entravant la mise en œuvre des activités</w:t>
      </w:r>
      <w:r w:rsidR="00034F24">
        <w:rPr>
          <w:rFonts w:ascii="Arial Narrow" w:hAnsi="Arial Narrow"/>
          <w:sz w:val="24"/>
          <w:szCs w:val="24"/>
        </w:rPr>
        <w:t>.</w:t>
      </w:r>
    </w:p>
    <w:p w14:paraId="537ABBC6" w14:textId="77777777" w:rsidR="009E6EB2" w:rsidRPr="00F82188" w:rsidRDefault="009E6EB2" w:rsidP="00F82188">
      <w:pPr>
        <w:pStyle w:val="Paragraphedeliste"/>
        <w:suppressAutoHyphens w:val="0"/>
        <w:jc w:val="both"/>
        <w:outlineLvl w:val="0"/>
        <w:rPr>
          <w:rFonts w:ascii="Arial Narrow" w:eastAsiaTheme="minorEastAsia" w:hAnsi="Arial Narrow"/>
          <w:lang w:eastAsia="en-US"/>
        </w:rPr>
      </w:pPr>
    </w:p>
    <w:p w14:paraId="26826EB4" w14:textId="77777777" w:rsidR="009E6EB2" w:rsidRPr="009D6A23" w:rsidRDefault="008A03E5" w:rsidP="00F82188">
      <w:pPr>
        <w:pStyle w:val="Paragraphedeliste"/>
        <w:numPr>
          <w:ilvl w:val="0"/>
          <w:numId w:val="5"/>
        </w:numPr>
        <w:suppressAutoHyphens w:val="0"/>
        <w:jc w:val="both"/>
        <w:outlineLvl w:val="0"/>
        <w:rPr>
          <w:rFonts w:ascii="Arial Narrow" w:hAnsi="Arial Narrow"/>
          <w:b/>
          <w:sz w:val="28"/>
          <w:szCs w:val="28"/>
        </w:rPr>
      </w:pPr>
      <w:bookmarkStart w:id="18" w:name="_Toc48742288"/>
      <w:r>
        <w:rPr>
          <w:rFonts w:ascii="Arial Narrow" w:hAnsi="Arial Narrow"/>
          <w:b/>
          <w:sz w:val="28"/>
          <w:szCs w:val="28"/>
        </w:rPr>
        <w:t xml:space="preserve">CONCLUSIONS ET </w:t>
      </w:r>
      <w:r w:rsidR="009E6EB2">
        <w:rPr>
          <w:rFonts w:ascii="Arial Narrow" w:hAnsi="Arial Narrow"/>
          <w:b/>
          <w:sz w:val="28"/>
          <w:szCs w:val="28"/>
        </w:rPr>
        <w:t>RECOMMANDATIONS</w:t>
      </w:r>
      <w:bookmarkEnd w:id="18"/>
    </w:p>
    <w:p w14:paraId="74DDA5B6" w14:textId="77777777" w:rsidR="009E6EB2" w:rsidRDefault="009E6EB2" w:rsidP="005749B2">
      <w:pPr>
        <w:rPr>
          <w:rFonts w:ascii="Arial Narrow" w:hAnsi="Arial Narrow"/>
        </w:rPr>
      </w:pPr>
    </w:p>
    <w:p w14:paraId="762B2B67" w14:textId="77777777" w:rsidR="007774C6" w:rsidRDefault="008A03E5" w:rsidP="00C9349F">
      <w:pPr>
        <w:jc w:val="both"/>
        <w:rPr>
          <w:rFonts w:ascii="Arial Narrow" w:hAnsi="Arial Narrow"/>
          <w:sz w:val="24"/>
          <w:szCs w:val="24"/>
        </w:rPr>
      </w:pPr>
      <w:r>
        <w:rPr>
          <w:rFonts w:ascii="Arial Narrow" w:hAnsi="Arial Narrow"/>
          <w:sz w:val="24"/>
          <w:szCs w:val="24"/>
        </w:rPr>
        <w:t xml:space="preserve">Malgré les résultats engrangés, il convient de signaler que ces activités n’ont concerné que seulement quatre (04) structures d’exécution du programme, à savoir la CT-CSLP, l’ODHD/LCP, le SHA et la DCM. Les autres structures impliquées dans le programme (DNPD, APEX, CTRCA, API), n’étaient pas concernées par les activités phares retenues alors qu’elles ont exécuté d’autres activités </w:t>
      </w:r>
      <w:r w:rsidR="007774C6">
        <w:rPr>
          <w:rFonts w:ascii="Arial Narrow" w:hAnsi="Arial Narrow"/>
          <w:sz w:val="24"/>
          <w:szCs w:val="24"/>
        </w:rPr>
        <w:t xml:space="preserve">importantes </w:t>
      </w:r>
      <w:r>
        <w:rPr>
          <w:rFonts w:ascii="Arial Narrow" w:hAnsi="Arial Narrow"/>
          <w:sz w:val="24"/>
          <w:szCs w:val="24"/>
        </w:rPr>
        <w:t xml:space="preserve">financées </w:t>
      </w:r>
      <w:r w:rsidR="00C9349F">
        <w:rPr>
          <w:rFonts w:ascii="Arial Narrow" w:hAnsi="Arial Narrow"/>
          <w:sz w:val="24"/>
          <w:szCs w:val="24"/>
        </w:rPr>
        <w:t xml:space="preserve">soit </w:t>
      </w:r>
      <w:r>
        <w:rPr>
          <w:rFonts w:ascii="Arial Narrow" w:hAnsi="Arial Narrow"/>
          <w:sz w:val="24"/>
          <w:szCs w:val="24"/>
        </w:rPr>
        <w:t xml:space="preserve">par </w:t>
      </w:r>
      <w:r w:rsidR="00C9349F">
        <w:rPr>
          <w:rFonts w:ascii="Arial Narrow" w:hAnsi="Arial Narrow"/>
          <w:sz w:val="24"/>
          <w:szCs w:val="24"/>
        </w:rPr>
        <w:t xml:space="preserve">l’Etat, soit par </w:t>
      </w:r>
      <w:r>
        <w:rPr>
          <w:rFonts w:ascii="Arial Narrow" w:hAnsi="Arial Narrow"/>
          <w:sz w:val="24"/>
          <w:szCs w:val="24"/>
        </w:rPr>
        <w:t xml:space="preserve">d’autres partenaires autres que le PNUD. </w:t>
      </w:r>
    </w:p>
    <w:p w14:paraId="712D0B05" w14:textId="77777777" w:rsidR="008A03E5" w:rsidRPr="00C77249" w:rsidRDefault="008A03E5" w:rsidP="00C9349F">
      <w:pPr>
        <w:jc w:val="both"/>
        <w:rPr>
          <w:rFonts w:ascii="Arial Narrow" w:hAnsi="Arial Narrow"/>
        </w:rPr>
      </w:pPr>
      <w:r>
        <w:rPr>
          <w:rFonts w:ascii="Arial Narrow" w:hAnsi="Arial Narrow"/>
          <w:sz w:val="24"/>
          <w:szCs w:val="24"/>
        </w:rPr>
        <w:t>Il est dès lors important d’accélérer la finalisation et l’adoption du nouveau PRODOC pour sortir des plans d’actions intérimaires</w:t>
      </w:r>
      <w:r w:rsidR="007774C6">
        <w:rPr>
          <w:rFonts w:ascii="Arial Narrow" w:hAnsi="Arial Narrow"/>
          <w:sz w:val="24"/>
          <w:szCs w:val="24"/>
        </w:rPr>
        <w:t>,</w:t>
      </w:r>
      <w:r>
        <w:rPr>
          <w:rFonts w:ascii="Arial Narrow" w:hAnsi="Arial Narrow"/>
          <w:sz w:val="24"/>
          <w:szCs w:val="24"/>
        </w:rPr>
        <w:t xml:space="preserve"> mais surtout pour permettre au programme </w:t>
      </w:r>
      <w:r w:rsidR="007774C6">
        <w:rPr>
          <w:rFonts w:ascii="Arial Narrow" w:hAnsi="Arial Narrow"/>
          <w:sz w:val="24"/>
          <w:szCs w:val="24"/>
        </w:rPr>
        <w:t xml:space="preserve">PAGEM (ou PAGED) </w:t>
      </w:r>
      <w:r>
        <w:rPr>
          <w:rFonts w:ascii="Arial Narrow" w:hAnsi="Arial Narrow"/>
          <w:sz w:val="24"/>
          <w:szCs w:val="24"/>
        </w:rPr>
        <w:t>de fonctionner à plein régime.</w:t>
      </w:r>
    </w:p>
    <w:sectPr w:rsidR="008A03E5" w:rsidRPr="00C77249" w:rsidSect="0082257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4A762" w14:textId="77777777" w:rsidR="00F72D85" w:rsidRDefault="00F72D85">
      <w:pPr>
        <w:spacing w:after="0" w:line="240" w:lineRule="auto"/>
      </w:pPr>
      <w:r>
        <w:separator/>
      </w:r>
    </w:p>
  </w:endnote>
  <w:endnote w:type="continuationSeparator" w:id="0">
    <w:p w14:paraId="0BC96564" w14:textId="77777777" w:rsidR="00F72D85" w:rsidRDefault="00F7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242772"/>
      <w:docPartObj>
        <w:docPartGallery w:val="Page Numbers (Bottom of Page)"/>
        <w:docPartUnique/>
      </w:docPartObj>
    </w:sdtPr>
    <w:sdtEndPr/>
    <w:sdtContent>
      <w:p w14:paraId="6AFCD8AD" w14:textId="77777777" w:rsidR="005142C0" w:rsidRDefault="005142C0">
        <w:pPr>
          <w:pStyle w:val="Pieddepage"/>
          <w:jc w:val="right"/>
        </w:pPr>
        <w:r>
          <w:fldChar w:fldCharType="begin"/>
        </w:r>
        <w:r>
          <w:instrText>PAGE   \* MERGEFORMAT</w:instrText>
        </w:r>
        <w:r>
          <w:fldChar w:fldCharType="separate"/>
        </w:r>
        <w:r w:rsidR="004B100A">
          <w:rPr>
            <w:noProof/>
          </w:rPr>
          <w:t>15</w:t>
        </w:r>
        <w:r>
          <w:fldChar w:fldCharType="end"/>
        </w:r>
      </w:p>
    </w:sdtContent>
  </w:sdt>
  <w:p w14:paraId="01115F96" w14:textId="77777777" w:rsidR="005142C0" w:rsidRDefault="005142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DCE0C" w14:textId="77777777" w:rsidR="00F72D85" w:rsidRDefault="00F72D85">
      <w:pPr>
        <w:spacing w:after="0" w:line="240" w:lineRule="auto"/>
      </w:pPr>
      <w:r>
        <w:separator/>
      </w:r>
    </w:p>
  </w:footnote>
  <w:footnote w:type="continuationSeparator" w:id="0">
    <w:p w14:paraId="3536BB1B" w14:textId="77777777" w:rsidR="00F72D85" w:rsidRDefault="00F72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880434"/>
      <w:docPartObj>
        <w:docPartGallery w:val="Page Numbers (Top of Page)"/>
        <w:docPartUnique/>
      </w:docPartObj>
    </w:sdtPr>
    <w:sdtEndPr/>
    <w:sdtContent>
      <w:p w14:paraId="4290DEB8" w14:textId="77777777" w:rsidR="005142C0" w:rsidRDefault="005142C0">
        <w:pPr>
          <w:pStyle w:val="En-tte"/>
          <w:jc w:val="right"/>
        </w:pPr>
        <w:r>
          <w:fldChar w:fldCharType="begin"/>
        </w:r>
        <w:r>
          <w:instrText>PAGE   \* MERGEFORMAT</w:instrText>
        </w:r>
        <w:r>
          <w:fldChar w:fldCharType="separate"/>
        </w:r>
        <w:r w:rsidR="004B100A">
          <w:rPr>
            <w:noProof/>
          </w:rPr>
          <w:t>15</w:t>
        </w:r>
        <w:r>
          <w:fldChar w:fldCharType="end"/>
        </w:r>
      </w:p>
    </w:sdtContent>
  </w:sdt>
  <w:p w14:paraId="4ABD0C3D" w14:textId="77777777" w:rsidR="005142C0" w:rsidRDefault="005142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1168"/>
      </v:shape>
    </w:pict>
  </w:numPicBullet>
  <w:abstractNum w:abstractNumId="0" w15:restartNumberingAfterBreak="0">
    <w:nsid w:val="012F1D5F"/>
    <w:multiLevelType w:val="multilevel"/>
    <w:tmpl w:val="4CCC88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2096B"/>
    <w:multiLevelType w:val="hybridMultilevel"/>
    <w:tmpl w:val="21761C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F5601C"/>
    <w:multiLevelType w:val="hybridMultilevel"/>
    <w:tmpl w:val="8254723E"/>
    <w:lvl w:ilvl="0" w:tplc="0388F7DC">
      <w:numFmt w:val="bullet"/>
      <w:lvlText w:val="-"/>
      <w:lvlJc w:val="left"/>
      <w:pPr>
        <w:tabs>
          <w:tab w:val="num" w:pos="720"/>
        </w:tabs>
        <w:ind w:left="720" w:hanging="360"/>
      </w:pPr>
      <w:rPr>
        <w:rFonts w:ascii="Arial Narrow" w:eastAsiaTheme="minorHAnsi" w:hAnsi="Arial Narrow" w:cstheme="minorBidi" w:hint="default"/>
        <w:color w:val="auto"/>
      </w:rPr>
    </w:lvl>
    <w:lvl w:ilvl="1" w:tplc="FAA8BA68" w:tentative="1">
      <w:start w:val="1"/>
      <w:numFmt w:val="bullet"/>
      <w:lvlText w:val=""/>
      <w:lvlJc w:val="left"/>
      <w:pPr>
        <w:tabs>
          <w:tab w:val="num" w:pos="1440"/>
        </w:tabs>
        <w:ind w:left="1440" w:hanging="360"/>
      </w:pPr>
      <w:rPr>
        <w:rFonts w:ascii="Wingdings" w:hAnsi="Wingdings" w:hint="default"/>
      </w:rPr>
    </w:lvl>
    <w:lvl w:ilvl="2" w:tplc="A192CE24" w:tentative="1">
      <w:start w:val="1"/>
      <w:numFmt w:val="bullet"/>
      <w:lvlText w:val=""/>
      <w:lvlJc w:val="left"/>
      <w:pPr>
        <w:tabs>
          <w:tab w:val="num" w:pos="2160"/>
        </w:tabs>
        <w:ind w:left="2160" w:hanging="360"/>
      </w:pPr>
      <w:rPr>
        <w:rFonts w:ascii="Wingdings" w:hAnsi="Wingdings" w:hint="default"/>
      </w:rPr>
    </w:lvl>
    <w:lvl w:ilvl="3" w:tplc="E6E8D8F2" w:tentative="1">
      <w:start w:val="1"/>
      <w:numFmt w:val="bullet"/>
      <w:lvlText w:val=""/>
      <w:lvlJc w:val="left"/>
      <w:pPr>
        <w:tabs>
          <w:tab w:val="num" w:pos="2880"/>
        </w:tabs>
        <w:ind w:left="2880" w:hanging="360"/>
      </w:pPr>
      <w:rPr>
        <w:rFonts w:ascii="Wingdings" w:hAnsi="Wingdings" w:hint="default"/>
      </w:rPr>
    </w:lvl>
    <w:lvl w:ilvl="4" w:tplc="7A58EE60" w:tentative="1">
      <w:start w:val="1"/>
      <w:numFmt w:val="bullet"/>
      <w:lvlText w:val=""/>
      <w:lvlJc w:val="left"/>
      <w:pPr>
        <w:tabs>
          <w:tab w:val="num" w:pos="3600"/>
        </w:tabs>
        <w:ind w:left="3600" w:hanging="360"/>
      </w:pPr>
      <w:rPr>
        <w:rFonts w:ascii="Wingdings" w:hAnsi="Wingdings" w:hint="default"/>
      </w:rPr>
    </w:lvl>
    <w:lvl w:ilvl="5" w:tplc="70A614D2" w:tentative="1">
      <w:start w:val="1"/>
      <w:numFmt w:val="bullet"/>
      <w:lvlText w:val=""/>
      <w:lvlJc w:val="left"/>
      <w:pPr>
        <w:tabs>
          <w:tab w:val="num" w:pos="4320"/>
        </w:tabs>
        <w:ind w:left="4320" w:hanging="360"/>
      </w:pPr>
      <w:rPr>
        <w:rFonts w:ascii="Wingdings" w:hAnsi="Wingdings" w:hint="default"/>
      </w:rPr>
    </w:lvl>
    <w:lvl w:ilvl="6" w:tplc="4552B20C" w:tentative="1">
      <w:start w:val="1"/>
      <w:numFmt w:val="bullet"/>
      <w:lvlText w:val=""/>
      <w:lvlJc w:val="left"/>
      <w:pPr>
        <w:tabs>
          <w:tab w:val="num" w:pos="5040"/>
        </w:tabs>
        <w:ind w:left="5040" w:hanging="360"/>
      </w:pPr>
      <w:rPr>
        <w:rFonts w:ascii="Wingdings" w:hAnsi="Wingdings" w:hint="default"/>
      </w:rPr>
    </w:lvl>
    <w:lvl w:ilvl="7" w:tplc="237E2046" w:tentative="1">
      <w:start w:val="1"/>
      <w:numFmt w:val="bullet"/>
      <w:lvlText w:val=""/>
      <w:lvlJc w:val="left"/>
      <w:pPr>
        <w:tabs>
          <w:tab w:val="num" w:pos="5760"/>
        </w:tabs>
        <w:ind w:left="5760" w:hanging="360"/>
      </w:pPr>
      <w:rPr>
        <w:rFonts w:ascii="Wingdings" w:hAnsi="Wingdings" w:hint="default"/>
      </w:rPr>
    </w:lvl>
    <w:lvl w:ilvl="8" w:tplc="719CE0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C3807"/>
    <w:multiLevelType w:val="hybridMultilevel"/>
    <w:tmpl w:val="4834790A"/>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CA83E42"/>
    <w:multiLevelType w:val="hybridMultilevel"/>
    <w:tmpl w:val="316AF8FE"/>
    <w:lvl w:ilvl="0" w:tplc="040C0001">
      <w:start w:val="1"/>
      <w:numFmt w:val="bullet"/>
      <w:lvlText w:val=""/>
      <w:lvlJc w:val="left"/>
      <w:pPr>
        <w:ind w:left="720" w:hanging="360"/>
      </w:pPr>
      <w:rPr>
        <w:rFonts w:ascii="Symbol" w:hAnsi="Symbol" w:hint="default"/>
      </w:rPr>
    </w:lvl>
    <w:lvl w:ilvl="1" w:tplc="0436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05FD7"/>
    <w:multiLevelType w:val="hybridMultilevel"/>
    <w:tmpl w:val="48E25E8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E7963"/>
    <w:multiLevelType w:val="multilevel"/>
    <w:tmpl w:val="BEDC83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D00487"/>
    <w:multiLevelType w:val="hybridMultilevel"/>
    <w:tmpl w:val="15ACB1CC"/>
    <w:lvl w:ilvl="0" w:tplc="1B46A7A6">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962C63"/>
    <w:multiLevelType w:val="hybridMultilevel"/>
    <w:tmpl w:val="29368982"/>
    <w:lvl w:ilvl="0" w:tplc="67942608">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57ED0"/>
    <w:multiLevelType w:val="hybridMultilevel"/>
    <w:tmpl w:val="AF26C89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A25C5"/>
    <w:multiLevelType w:val="hybridMultilevel"/>
    <w:tmpl w:val="9D929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54619"/>
    <w:multiLevelType w:val="hybridMultilevel"/>
    <w:tmpl w:val="E800FC74"/>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F6295D"/>
    <w:multiLevelType w:val="hybridMultilevel"/>
    <w:tmpl w:val="2958A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C1698B"/>
    <w:multiLevelType w:val="hybridMultilevel"/>
    <w:tmpl w:val="B0206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D1267B"/>
    <w:multiLevelType w:val="hybridMultilevel"/>
    <w:tmpl w:val="B1626D6A"/>
    <w:lvl w:ilvl="0" w:tplc="D3D65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50C56"/>
    <w:multiLevelType w:val="hybridMultilevel"/>
    <w:tmpl w:val="B0EE4E30"/>
    <w:lvl w:ilvl="0" w:tplc="D6589A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FF5048"/>
    <w:multiLevelType w:val="hybridMultilevel"/>
    <w:tmpl w:val="E3C490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B40C70"/>
    <w:multiLevelType w:val="hybridMultilevel"/>
    <w:tmpl w:val="B3D23060"/>
    <w:lvl w:ilvl="0" w:tplc="2FA2C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850EE"/>
    <w:multiLevelType w:val="hybridMultilevel"/>
    <w:tmpl w:val="8F729E2A"/>
    <w:lvl w:ilvl="0" w:tplc="D6589A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7051A"/>
    <w:multiLevelType w:val="hybridMultilevel"/>
    <w:tmpl w:val="E8D28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847F5"/>
    <w:multiLevelType w:val="multilevel"/>
    <w:tmpl w:val="BEDC83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CB6733"/>
    <w:multiLevelType w:val="hybridMultilevel"/>
    <w:tmpl w:val="D0E44BAE"/>
    <w:lvl w:ilvl="0" w:tplc="CC021F96">
      <w:start w:val="7"/>
      <w:numFmt w:val="upperRoman"/>
      <w:lvlText w:val="%1."/>
      <w:lvlJc w:val="left"/>
      <w:pPr>
        <w:ind w:left="1064" w:hanging="588"/>
      </w:pPr>
      <w:rPr>
        <w:rFonts w:ascii="Century" w:eastAsia="Century" w:hAnsi="Century" w:cs="Century" w:hint="default"/>
        <w:w w:val="99"/>
        <w:sz w:val="28"/>
        <w:szCs w:val="28"/>
        <w:lang w:val="fr-FR" w:eastAsia="fr-FR" w:bidi="fr-FR"/>
      </w:rPr>
    </w:lvl>
    <w:lvl w:ilvl="1" w:tplc="0DD4D254">
      <w:start w:val="1"/>
      <w:numFmt w:val="lowerLetter"/>
      <w:lvlText w:val="%2)"/>
      <w:lvlJc w:val="left"/>
      <w:pPr>
        <w:ind w:left="1377" w:hanging="360"/>
      </w:pPr>
      <w:rPr>
        <w:rFonts w:ascii="Century" w:eastAsia="Century" w:hAnsi="Century" w:cs="Century" w:hint="default"/>
        <w:spacing w:val="-16"/>
        <w:w w:val="100"/>
        <w:sz w:val="24"/>
        <w:szCs w:val="24"/>
        <w:lang w:val="fr-FR" w:eastAsia="fr-FR" w:bidi="fr-FR"/>
      </w:rPr>
    </w:lvl>
    <w:lvl w:ilvl="2" w:tplc="700E6CA8">
      <w:numFmt w:val="bullet"/>
      <w:lvlText w:val="•"/>
      <w:lvlJc w:val="left"/>
      <w:pPr>
        <w:ind w:left="2413" w:hanging="360"/>
      </w:pPr>
      <w:rPr>
        <w:rFonts w:hint="default"/>
        <w:lang w:val="fr-FR" w:eastAsia="fr-FR" w:bidi="fr-FR"/>
      </w:rPr>
    </w:lvl>
    <w:lvl w:ilvl="3" w:tplc="DEDE9654">
      <w:numFmt w:val="bullet"/>
      <w:lvlText w:val="•"/>
      <w:lvlJc w:val="left"/>
      <w:pPr>
        <w:ind w:left="3446" w:hanging="360"/>
      </w:pPr>
      <w:rPr>
        <w:rFonts w:hint="default"/>
        <w:lang w:val="fr-FR" w:eastAsia="fr-FR" w:bidi="fr-FR"/>
      </w:rPr>
    </w:lvl>
    <w:lvl w:ilvl="4" w:tplc="916C8888">
      <w:numFmt w:val="bullet"/>
      <w:lvlText w:val="•"/>
      <w:lvlJc w:val="left"/>
      <w:pPr>
        <w:ind w:left="4480" w:hanging="360"/>
      </w:pPr>
      <w:rPr>
        <w:rFonts w:hint="default"/>
        <w:lang w:val="fr-FR" w:eastAsia="fr-FR" w:bidi="fr-FR"/>
      </w:rPr>
    </w:lvl>
    <w:lvl w:ilvl="5" w:tplc="7338C54C">
      <w:numFmt w:val="bullet"/>
      <w:lvlText w:val="•"/>
      <w:lvlJc w:val="left"/>
      <w:pPr>
        <w:ind w:left="5513" w:hanging="360"/>
      </w:pPr>
      <w:rPr>
        <w:rFonts w:hint="default"/>
        <w:lang w:val="fr-FR" w:eastAsia="fr-FR" w:bidi="fr-FR"/>
      </w:rPr>
    </w:lvl>
    <w:lvl w:ilvl="6" w:tplc="A948D410">
      <w:numFmt w:val="bullet"/>
      <w:lvlText w:val="•"/>
      <w:lvlJc w:val="left"/>
      <w:pPr>
        <w:ind w:left="6546" w:hanging="360"/>
      </w:pPr>
      <w:rPr>
        <w:rFonts w:hint="default"/>
        <w:lang w:val="fr-FR" w:eastAsia="fr-FR" w:bidi="fr-FR"/>
      </w:rPr>
    </w:lvl>
    <w:lvl w:ilvl="7" w:tplc="EE2A6584">
      <w:numFmt w:val="bullet"/>
      <w:lvlText w:val="•"/>
      <w:lvlJc w:val="left"/>
      <w:pPr>
        <w:ind w:left="7580" w:hanging="360"/>
      </w:pPr>
      <w:rPr>
        <w:rFonts w:hint="default"/>
        <w:lang w:val="fr-FR" w:eastAsia="fr-FR" w:bidi="fr-FR"/>
      </w:rPr>
    </w:lvl>
    <w:lvl w:ilvl="8" w:tplc="00D07DAE">
      <w:numFmt w:val="bullet"/>
      <w:lvlText w:val="•"/>
      <w:lvlJc w:val="left"/>
      <w:pPr>
        <w:ind w:left="8613" w:hanging="360"/>
      </w:pPr>
      <w:rPr>
        <w:rFonts w:hint="default"/>
        <w:lang w:val="fr-FR" w:eastAsia="fr-FR" w:bidi="fr-FR"/>
      </w:rPr>
    </w:lvl>
  </w:abstractNum>
  <w:abstractNum w:abstractNumId="22" w15:restartNumberingAfterBreak="0">
    <w:nsid w:val="549B09A6"/>
    <w:multiLevelType w:val="hybridMultilevel"/>
    <w:tmpl w:val="B9AED0F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167AC"/>
    <w:multiLevelType w:val="hybridMultilevel"/>
    <w:tmpl w:val="F91ADF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06C569E"/>
    <w:multiLevelType w:val="hybridMultilevel"/>
    <w:tmpl w:val="5C3836F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14BD9"/>
    <w:multiLevelType w:val="hybridMultilevel"/>
    <w:tmpl w:val="1C264C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7B1C49"/>
    <w:multiLevelType w:val="hybridMultilevel"/>
    <w:tmpl w:val="2E5CFDDC"/>
    <w:lvl w:ilvl="0" w:tplc="040C0009">
      <w:start w:val="1"/>
      <w:numFmt w:val="bullet"/>
      <w:lvlText w:val=""/>
      <w:lvlJc w:val="left"/>
      <w:pPr>
        <w:ind w:left="720" w:hanging="360"/>
      </w:pPr>
      <w:rPr>
        <w:rFonts w:ascii="Wingdings" w:hAnsi="Wingdings" w:hint="default"/>
      </w:rPr>
    </w:lvl>
    <w:lvl w:ilvl="1" w:tplc="791CA384">
      <w:numFmt w:val="bullet"/>
      <w:lvlText w:val="-"/>
      <w:lvlJc w:val="left"/>
      <w:pPr>
        <w:ind w:left="1776" w:hanging="696"/>
      </w:pPr>
      <w:rPr>
        <w:rFonts w:ascii="Times New Roman" w:eastAsia="Arial Unicode MS"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D20AD1"/>
    <w:multiLevelType w:val="multilevel"/>
    <w:tmpl w:val="7CE4C432"/>
    <w:lvl w:ilvl="0">
      <w:start w:val="1"/>
      <w:numFmt w:val="decimal"/>
      <w:lvlText w:val="%1."/>
      <w:lvlJc w:val="left"/>
      <w:pPr>
        <w:ind w:left="1065" w:hanging="705"/>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8" w15:restartNumberingAfterBreak="0">
    <w:nsid w:val="6FDC283C"/>
    <w:multiLevelType w:val="hybridMultilevel"/>
    <w:tmpl w:val="A48CF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36232"/>
    <w:multiLevelType w:val="hybridMultilevel"/>
    <w:tmpl w:val="C2223B60"/>
    <w:lvl w:ilvl="0" w:tplc="D6589A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783BB8"/>
    <w:multiLevelType w:val="multilevel"/>
    <w:tmpl w:val="5560B676"/>
    <w:lvl w:ilvl="0">
      <w:start w:val="1"/>
      <w:numFmt w:val="upperRoman"/>
      <w:lvlText w:val="%1."/>
      <w:lvlJc w:val="left"/>
      <w:pPr>
        <w:ind w:left="1080" w:hanging="720"/>
      </w:pPr>
      <w:rPr>
        <w:rFonts w:hint="default"/>
        <w:color w:val="9BBB59"/>
        <w:sz w:val="26"/>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7E8D4BB6"/>
    <w:multiLevelType w:val="hybridMultilevel"/>
    <w:tmpl w:val="E0106A62"/>
    <w:lvl w:ilvl="0" w:tplc="D6589A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0"/>
  </w:num>
  <w:num w:numId="5">
    <w:abstractNumId w:val="18"/>
  </w:num>
  <w:num w:numId="6">
    <w:abstractNumId w:val="10"/>
  </w:num>
  <w:num w:numId="7">
    <w:abstractNumId w:val="19"/>
  </w:num>
  <w:num w:numId="8">
    <w:abstractNumId w:val="20"/>
  </w:num>
  <w:num w:numId="9">
    <w:abstractNumId w:val="6"/>
  </w:num>
  <w:num w:numId="10">
    <w:abstractNumId w:val="16"/>
  </w:num>
  <w:num w:numId="11">
    <w:abstractNumId w:val="28"/>
  </w:num>
  <w:num w:numId="12">
    <w:abstractNumId w:val="30"/>
  </w:num>
  <w:num w:numId="13">
    <w:abstractNumId w:val="5"/>
  </w:num>
  <w:num w:numId="14">
    <w:abstractNumId w:val="27"/>
  </w:num>
  <w:num w:numId="15">
    <w:abstractNumId w:val="11"/>
  </w:num>
  <w:num w:numId="16">
    <w:abstractNumId w:val="26"/>
  </w:num>
  <w:num w:numId="17">
    <w:abstractNumId w:val="1"/>
  </w:num>
  <w:num w:numId="18">
    <w:abstractNumId w:val="23"/>
  </w:num>
  <w:num w:numId="19">
    <w:abstractNumId w:val="12"/>
  </w:num>
  <w:num w:numId="20">
    <w:abstractNumId w:val="3"/>
  </w:num>
  <w:num w:numId="21">
    <w:abstractNumId w:val="9"/>
  </w:num>
  <w:num w:numId="22">
    <w:abstractNumId w:val="25"/>
  </w:num>
  <w:num w:numId="23">
    <w:abstractNumId w:val="22"/>
  </w:num>
  <w:num w:numId="24">
    <w:abstractNumId w:val="24"/>
  </w:num>
  <w:num w:numId="25">
    <w:abstractNumId w:val="4"/>
  </w:num>
  <w:num w:numId="26">
    <w:abstractNumId w:val="21"/>
  </w:num>
  <w:num w:numId="27">
    <w:abstractNumId w:val="14"/>
  </w:num>
  <w:num w:numId="28">
    <w:abstractNumId w:val="2"/>
  </w:num>
  <w:num w:numId="29">
    <w:abstractNumId w:val="15"/>
  </w:num>
  <w:num w:numId="30">
    <w:abstractNumId w:val="29"/>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49"/>
    <w:rsid w:val="00034F24"/>
    <w:rsid w:val="00092CD7"/>
    <w:rsid w:val="000D6A3A"/>
    <w:rsid w:val="001045D3"/>
    <w:rsid w:val="00122ACE"/>
    <w:rsid w:val="00124E5A"/>
    <w:rsid w:val="001606E7"/>
    <w:rsid w:val="00176EA3"/>
    <w:rsid w:val="001976C3"/>
    <w:rsid w:val="001E5A87"/>
    <w:rsid w:val="00205C0B"/>
    <w:rsid w:val="00206D6E"/>
    <w:rsid w:val="00223469"/>
    <w:rsid w:val="00236E25"/>
    <w:rsid w:val="0029510C"/>
    <w:rsid w:val="002A3C42"/>
    <w:rsid w:val="00302A5A"/>
    <w:rsid w:val="00303F27"/>
    <w:rsid w:val="0039158A"/>
    <w:rsid w:val="003F10E8"/>
    <w:rsid w:val="004035F4"/>
    <w:rsid w:val="0043466F"/>
    <w:rsid w:val="0044783C"/>
    <w:rsid w:val="00454CA8"/>
    <w:rsid w:val="00474699"/>
    <w:rsid w:val="0049224C"/>
    <w:rsid w:val="004B100A"/>
    <w:rsid w:val="004B1598"/>
    <w:rsid w:val="004C1E51"/>
    <w:rsid w:val="004D72FC"/>
    <w:rsid w:val="00502523"/>
    <w:rsid w:val="005142C0"/>
    <w:rsid w:val="00524D08"/>
    <w:rsid w:val="00531389"/>
    <w:rsid w:val="00557391"/>
    <w:rsid w:val="00570387"/>
    <w:rsid w:val="005749B2"/>
    <w:rsid w:val="005A351A"/>
    <w:rsid w:val="005B2A43"/>
    <w:rsid w:val="005C2F9E"/>
    <w:rsid w:val="00604B6D"/>
    <w:rsid w:val="00621B67"/>
    <w:rsid w:val="0063058D"/>
    <w:rsid w:val="00640412"/>
    <w:rsid w:val="00645F80"/>
    <w:rsid w:val="007030B4"/>
    <w:rsid w:val="00706FA9"/>
    <w:rsid w:val="00716527"/>
    <w:rsid w:val="0077293C"/>
    <w:rsid w:val="007774C6"/>
    <w:rsid w:val="00795006"/>
    <w:rsid w:val="007E6322"/>
    <w:rsid w:val="008118A1"/>
    <w:rsid w:val="00815F60"/>
    <w:rsid w:val="008222F7"/>
    <w:rsid w:val="00822572"/>
    <w:rsid w:val="008932A2"/>
    <w:rsid w:val="008A03E5"/>
    <w:rsid w:val="008B55C6"/>
    <w:rsid w:val="008D69B1"/>
    <w:rsid w:val="008F1013"/>
    <w:rsid w:val="008F2A63"/>
    <w:rsid w:val="0091102D"/>
    <w:rsid w:val="009D15C3"/>
    <w:rsid w:val="009E6EB2"/>
    <w:rsid w:val="00A06269"/>
    <w:rsid w:val="00A31686"/>
    <w:rsid w:val="00A43A49"/>
    <w:rsid w:val="00A46DF0"/>
    <w:rsid w:val="00AF149C"/>
    <w:rsid w:val="00B463E9"/>
    <w:rsid w:val="00BC4364"/>
    <w:rsid w:val="00BD7059"/>
    <w:rsid w:val="00BF697A"/>
    <w:rsid w:val="00BF7237"/>
    <w:rsid w:val="00C02E0B"/>
    <w:rsid w:val="00C60726"/>
    <w:rsid w:val="00C77249"/>
    <w:rsid w:val="00C9349F"/>
    <w:rsid w:val="00CD59B7"/>
    <w:rsid w:val="00CF4997"/>
    <w:rsid w:val="00CF5E3D"/>
    <w:rsid w:val="00D161D7"/>
    <w:rsid w:val="00D17DF9"/>
    <w:rsid w:val="00D328CB"/>
    <w:rsid w:val="00D53EFE"/>
    <w:rsid w:val="00D81A10"/>
    <w:rsid w:val="00D834CB"/>
    <w:rsid w:val="00DB58A3"/>
    <w:rsid w:val="00DD23B9"/>
    <w:rsid w:val="00E11C8B"/>
    <w:rsid w:val="00E15C85"/>
    <w:rsid w:val="00E23E09"/>
    <w:rsid w:val="00E555FA"/>
    <w:rsid w:val="00E60BF4"/>
    <w:rsid w:val="00E7071F"/>
    <w:rsid w:val="00E87E3F"/>
    <w:rsid w:val="00EB0F7C"/>
    <w:rsid w:val="00F24B6A"/>
    <w:rsid w:val="00F37261"/>
    <w:rsid w:val="00F412A1"/>
    <w:rsid w:val="00F72D85"/>
    <w:rsid w:val="00F82188"/>
    <w:rsid w:val="00FD28DA"/>
    <w:rsid w:val="00FD58AD"/>
    <w:rsid w:val="00FE7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7BF8"/>
  <w15:docId w15:val="{BBB701C9-5F5A-40F7-BC01-B99721AD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49"/>
    <w:rPr>
      <w:rFonts w:ascii="Calibri" w:eastAsiaTheme="minorEastAsia" w:hAnsi="Calibri" w:cs="Times New Roman"/>
    </w:rPr>
  </w:style>
  <w:style w:type="paragraph" w:styleId="Titre1">
    <w:name w:val="heading 1"/>
    <w:basedOn w:val="Normal"/>
    <w:next w:val="Normal"/>
    <w:link w:val="Titre1Car"/>
    <w:uiPriority w:val="9"/>
    <w:qFormat/>
    <w:rsid w:val="00DB58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Article,Bullets,List Paragraph (numbered (a)),Lapis Bulleted List,References,Liste 1,List Paragraph nowy,Numbered List Paragraph,Dot pt,No Spacing1,List Paragraph Char Char Char,Indicator Text,List Paragraph1,Numbered Para 1"/>
    <w:basedOn w:val="Normal"/>
    <w:link w:val="ParagraphedelisteCar"/>
    <w:uiPriority w:val="34"/>
    <w:qFormat/>
    <w:rsid w:val="00C77249"/>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ParagraphedelisteCar">
    <w:name w:val="Paragraphe de liste Car"/>
    <w:aliases w:val="Liste Article Car,Bullets Car,List Paragraph (numbered (a)) Car,Lapis Bulleted List Car,References Car,Liste 1 Car,List Paragraph nowy Car,Numbered List Paragraph Car,Dot pt Car,No Spacing1 Car,List Paragraph Char Char Char Car"/>
    <w:link w:val="Paragraphedeliste"/>
    <w:uiPriority w:val="34"/>
    <w:qFormat/>
    <w:rsid w:val="00C77249"/>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3F10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10E8"/>
    <w:rPr>
      <w:rFonts w:ascii="Segoe UI" w:eastAsiaTheme="minorEastAsia" w:hAnsi="Segoe UI" w:cs="Segoe UI"/>
      <w:sz w:val="18"/>
      <w:szCs w:val="18"/>
    </w:rPr>
  </w:style>
  <w:style w:type="table" w:customStyle="1" w:styleId="TableNormal">
    <w:name w:val="Table Normal"/>
    <w:uiPriority w:val="2"/>
    <w:semiHidden/>
    <w:unhideWhenUsed/>
    <w:qFormat/>
    <w:rsid w:val="00772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93C"/>
    <w:pPr>
      <w:widowControl w:val="0"/>
      <w:autoSpaceDE w:val="0"/>
      <w:autoSpaceDN w:val="0"/>
      <w:spacing w:after="0" w:line="240" w:lineRule="auto"/>
    </w:pPr>
    <w:rPr>
      <w:rFonts w:ascii="Century" w:eastAsia="Century" w:hAnsi="Century" w:cs="Century"/>
      <w:lang w:eastAsia="fr-FR" w:bidi="fr-FR"/>
    </w:rPr>
  </w:style>
  <w:style w:type="table" w:styleId="Grilledutableau">
    <w:name w:val="Table Grid"/>
    <w:basedOn w:val="TableauNormal"/>
    <w:uiPriority w:val="39"/>
    <w:rsid w:val="0077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7293C"/>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77293C"/>
  </w:style>
  <w:style w:type="character" w:customStyle="1" w:styleId="Titre1Car">
    <w:name w:val="Titre 1 Car"/>
    <w:basedOn w:val="Policepardfaut"/>
    <w:link w:val="Titre1"/>
    <w:uiPriority w:val="9"/>
    <w:rsid w:val="00DB58A3"/>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DB58A3"/>
    <w:pPr>
      <w:spacing w:line="259" w:lineRule="auto"/>
      <w:outlineLvl w:val="9"/>
    </w:pPr>
    <w:rPr>
      <w:lang w:val="en-US"/>
    </w:rPr>
  </w:style>
  <w:style w:type="paragraph" w:styleId="TM2">
    <w:name w:val="toc 2"/>
    <w:basedOn w:val="Normal"/>
    <w:next w:val="Normal"/>
    <w:autoRedefine/>
    <w:uiPriority w:val="39"/>
    <w:unhideWhenUsed/>
    <w:rsid w:val="00DB58A3"/>
    <w:pPr>
      <w:spacing w:after="100"/>
      <w:ind w:left="220"/>
    </w:pPr>
  </w:style>
  <w:style w:type="paragraph" w:styleId="TM1">
    <w:name w:val="toc 1"/>
    <w:basedOn w:val="Normal"/>
    <w:next w:val="Normal"/>
    <w:autoRedefine/>
    <w:uiPriority w:val="39"/>
    <w:unhideWhenUsed/>
    <w:rsid w:val="00DB58A3"/>
    <w:pPr>
      <w:spacing w:after="100"/>
    </w:pPr>
  </w:style>
  <w:style w:type="character" w:styleId="Lienhypertexte">
    <w:name w:val="Hyperlink"/>
    <w:basedOn w:val="Policepardfaut"/>
    <w:uiPriority w:val="99"/>
    <w:unhideWhenUsed/>
    <w:rsid w:val="00DB58A3"/>
    <w:rPr>
      <w:color w:val="0000FF" w:themeColor="hyperlink"/>
      <w:u w:val="single"/>
    </w:rPr>
  </w:style>
  <w:style w:type="paragraph" w:styleId="En-tte">
    <w:name w:val="header"/>
    <w:basedOn w:val="Normal"/>
    <w:link w:val="En-tteCar"/>
    <w:uiPriority w:val="99"/>
    <w:unhideWhenUsed/>
    <w:rsid w:val="00DB58A3"/>
    <w:pPr>
      <w:tabs>
        <w:tab w:val="center" w:pos="4680"/>
        <w:tab w:val="right" w:pos="9360"/>
      </w:tabs>
      <w:spacing w:after="0" w:line="240" w:lineRule="auto"/>
    </w:pPr>
  </w:style>
  <w:style w:type="character" w:customStyle="1" w:styleId="En-tteCar">
    <w:name w:val="En-tête Car"/>
    <w:basedOn w:val="Policepardfaut"/>
    <w:link w:val="En-tte"/>
    <w:uiPriority w:val="99"/>
    <w:rsid w:val="00DB58A3"/>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962377">
      <w:bodyDiv w:val="1"/>
      <w:marLeft w:val="0"/>
      <w:marRight w:val="0"/>
      <w:marTop w:val="0"/>
      <w:marBottom w:val="0"/>
      <w:divBdr>
        <w:top w:val="none" w:sz="0" w:space="0" w:color="auto"/>
        <w:left w:val="none" w:sz="0" w:space="0" w:color="auto"/>
        <w:bottom w:val="none" w:sz="0" w:space="0" w:color="auto"/>
        <w:right w:val="none" w:sz="0" w:space="0" w:color="auto"/>
      </w:divBdr>
    </w:div>
    <w:div w:id="1550804972">
      <w:bodyDiv w:val="1"/>
      <w:marLeft w:val="0"/>
      <w:marRight w:val="0"/>
      <w:marTop w:val="0"/>
      <w:marBottom w:val="0"/>
      <w:divBdr>
        <w:top w:val="none" w:sz="0" w:space="0" w:color="auto"/>
        <w:left w:val="none" w:sz="0" w:space="0" w:color="auto"/>
        <w:bottom w:val="none" w:sz="0" w:space="0" w:color="auto"/>
        <w:right w:val="none" w:sz="0" w:space="0" w:color="auto"/>
      </w:divBdr>
    </w:div>
    <w:div w:id="1605723579">
      <w:bodyDiv w:val="1"/>
      <w:marLeft w:val="0"/>
      <w:marRight w:val="0"/>
      <w:marTop w:val="0"/>
      <w:marBottom w:val="0"/>
      <w:divBdr>
        <w:top w:val="none" w:sz="0" w:space="0" w:color="auto"/>
        <w:left w:val="none" w:sz="0" w:space="0" w:color="auto"/>
        <w:bottom w:val="none" w:sz="0" w:space="0" w:color="auto"/>
        <w:right w:val="none" w:sz="0" w:space="0" w:color="auto"/>
      </w:divBdr>
    </w:div>
    <w:div w:id="18738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MLI</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2020-03-01T05:00:00+00:00</Document_x0020_Coverage_x0020_Period_x0020_Start_x0020_Date>
    <UNDPSummary xmlns="f1161f5b-24a3-4c2d-bc81-44cb9325e8ee" xsi:nil="true"/>
    <Outcome1 xmlns="f1161f5b-24a3-4c2d-bc81-44cb9325e8ee">00087611</Outcome1>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ATLASPDC-4-130983</_dlc_DocId>
    <TaxCatchAll xmlns="1ed4137b-41b2-488b-8250-6d369ec27664">
      <Value>763</Value>
      <Value>1114</Value>
      <Value>232</Value>
      <Value>1522</Value>
      <Value>1107</Value>
      <Value>1</Value>
    </TaxCatchAll>
    <_Publisher xmlns="http://schemas.microsoft.com/sharepoint/v3/fields" xsi:nil="true"/>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2020-07-31T04:00:00+00:00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2021-02-23T15:00:00+00:00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00076013</UndpProjectNo>
    <_dlc_DocIdUrl xmlns="f1161f5b-24a3-4c2d-bc81-44cb9325e8ee">
      <Url>https://info.undp.org/docs/pdc/_layouts/DocIdRedir.aspx?ID=ATLASPDC-4-130983</Url>
      <Description>ATLASPDC-4-130983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8E0490C-78FB-47C2-B88B-BA19BAEB4EFF}">
  <ds:schemaRefs>
    <ds:schemaRef ds:uri="http://schemas.openxmlformats.org/officeDocument/2006/bibliography"/>
  </ds:schemaRefs>
</ds:datastoreItem>
</file>

<file path=customXml/itemProps2.xml><?xml version="1.0" encoding="utf-8"?>
<ds:datastoreItem xmlns:ds="http://schemas.openxmlformats.org/officeDocument/2006/customXml" ds:itemID="{EF2FB546-835B-4043-9FF0-8D6F547BF854}"/>
</file>

<file path=customXml/itemProps3.xml><?xml version="1.0" encoding="utf-8"?>
<ds:datastoreItem xmlns:ds="http://schemas.openxmlformats.org/officeDocument/2006/customXml" ds:itemID="{BA533FF4-DBBF-481B-BBE3-1EE3A94FF9CC}"/>
</file>

<file path=customXml/itemProps4.xml><?xml version="1.0" encoding="utf-8"?>
<ds:datastoreItem xmlns:ds="http://schemas.openxmlformats.org/officeDocument/2006/customXml" ds:itemID="{34022AA0-C18A-4619-86EF-5B4BE365A20D}"/>
</file>

<file path=customXml/itemProps5.xml><?xml version="1.0" encoding="utf-8"?>
<ds:datastoreItem xmlns:ds="http://schemas.openxmlformats.org/officeDocument/2006/customXml" ds:itemID="{CAD5A256-F4FB-47A2-9CC8-C03587294FC6}"/>
</file>

<file path=customXml/itemProps6.xml><?xml version="1.0" encoding="utf-8"?>
<ds:datastoreItem xmlns:ds="http://schemas.openxmlformats.org/officeDocument/2006/customXml" ds:itemID="{DDE97058-2063-423D-8602-033C741595E3}"/>
</file>

<file path=docProps/app.xml><?xml version="1.0" encoding="utf-8"?>
<Properties xmlns="http://schemas.openxmlformats.org/officeDocument/2006/extended-properties" xmlns:vt="http://schemas.openxmlformats.org/officeDocument/2006/docPropsVTypes">
  <Template>Normal</Template>
  <TotalTime>0</TotalTime>
  <Pages>3</Pages>
  <Words>6460</Words>
  <Characters>35535</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SADIO KOLY KEITA</dc:creator>
  <cp:keywords/>
  <dc:description/>
  <cp:lastModifiedBy>Nana Coulibaly Samake</cp:lastModifiedBy>
  <cp:revision>2</cp:revision>
  <cp:lastPrinted>2020-08-13T11:57:00Z</cp:lastPrinted>
  <dcterms:created xsi:type="dcterms:W3CDTF">2021-02-11T10:15:00Z</dcterms:created>
  <dcterms:modified xsi:type="dcterms:W3CDTF">2021-02-11T10:15:00Z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1114;#Countries|2f9ec5a1-3eec-45d6-8645-ed5d87180aba</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1;#English|7f98b732-4b5b-4b70-ba90-a0eff09b5d2d</vt:lpwstr>
  </property>
  <property fmtid="{D5CDD505-2E9C-101B-9397-08002B2CF9AE}" pid="6" name="Operating Unit0">
    <vt:lpwstr>1522;#MLI|7a870009-9966-4078-9dda-f4f8eecee481</vt:lpwstr>
  </property>
  <property fmtid="{D5CDD505-2E9C-101B-9397-08002B2CF9AE}" pid="7" name="Atlas Document Status">
    <vt:lpwstr>763;#Draft|121d40a5-e62e-4d42-82e4-d6d12003de0a</vt:lpwstr>
  </property>
  <property fmtid="{D5CDD505-2E9C-101B-9397-08002B2CF9AE}" pid="8" name="_dlc_DocIdItemGuid">
    <vt:lpwstr>c8605cc8-5774-4472-b89f-da68037292b2</vt:lpwstr>
  </property>
  <property fmtid="{D5CDD505-2E9C-101B-9397-08002B2CF9AE}" pid="9" name="Atlas Document Type">
    <vt:lpwstr>1107;#Other|10be685e-4bef-4aec-b905-4df3748c0781</vt:lpwstr>
  </property>
  <property fmtid="{D5CDD505-2E9C-101B-9397-08002B2CF9AE}" pid="10" name="UndpUnitMM">
    <vt:lpwstr/>
  </property>
  <property fmtid="{D5CDD505-2E9C-101B-9397-08002B2CF9AE}" pid="11" name="eRegFilingCodeMM">
    <vt:lpwstr/>
  </property>
  <property fmtid="{D5CDD505-2E9C-101B-9397-08002B2CF9AE}" pid="12" name="UNDPFocusAreas">
    <vt:lpwstr>232;#Poverty Reduction|c594d747-5b40-4db6-8895-68504210264c</vt:lpwstr>
  </property>
  <property fmtid="{D5CDD505-2E9C-101B-9397-08002B2CF9AE}" pid="13" name="UndpDocTypeMM">
    <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